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3" w:rsidRDefault="00AD4673" w:rsidP="00AD4673">
      <w:pPr>
        <w:pStyle w:val="3"/>
        <w:spacing w:line="480" w:lineRule="auto"/>
        <w:ind w:left="0" w:firstLine="0"/>
        <w:jc w:val="right"/>
      </w:pPr>
      <w:r>
        <w:t>Сергій Рихлюк</w:t>
      </w:r>
    </w:p>
    <w:p w:rsidR="00AD4673" w:rsidRDefault="00AD4673" w:rsidP="00AD4673">
      <w:pPr>
        <w:pStyle w:val="3"/>
        <w:spacing w:line="480" w:lineRule="auto"/>
        <w:ind w:left="0" w:firstLine="0"/>
        <w:jc w:val="right"/>
      </w:pPr>
      <w:r>
        <w:t xml:space="preserve">Прикарпатський національний </w:t>
      </w:r>
    </w:p>
    <w:p w:rsidR="00AD4673" w:rsidRDefault="00AD4673" w:rsidP="00AD4673">
      <w:pPr>
        <w:pStyle w:val="3"/>
        <w:spacing w:line="480" w:lineRule="auto"/>
        <w:ind w:left="0" w:firstLine="0"/>
        <w:jc w:val="right"/>
      </w:pPr>
      <w:r>
        <w:t>університет ім. В. Стефаника</w:t>
      </w:r>
    </w:p>
    <w:p w:rsidR="00AD4673" w:rsidRDefault="00AD4673" w:rsidP="00AD4673">
      <w:pPr>
        <w:pStyle w:val="3"/>
        <w:spacing w:line="480" w:lineRule="auto"/>
        <w:ind w:left="0" w:firstLine="0"/>
        <w:jc w:val="right"/>
      </w:pPr>
      <w:r>
        <w:t>м. Івано-Франківськ</w:t>
      </w:r>
    </w:p>
    <w:p w:rsidR="00AD4673" w:rsidRDefault="00AD4673" w:rsidP="00AD4673">
      <w:pPr>
        <w:pStyle w:val="3"/>
        <w:spacing w:line="480" w:lineRule="auto"/>
        <w:ind w:left="0" w:firstLine="0"/>
      </w:pPr>
    </w:p>
    <w:p w:rsidR="00AD4673" w:rsidRDefault="00AD4673" w:rsidP="00AD4673">
      <w:pPr>
        <w:pStyle w:val="3"/>
        <w:spacing w:line="480" w:lineRule="auto"/>
        <w:ind w:left="0" w:firstLine="0"/>
        <w:rPr>
          <w:szCs w:val="28"/>
        </w:rPr>
      </w:pPr>
      <w:r>
        <w:rPr>
          <w:szCs w:val="28"/>
        </w:rPr>
        <w:t>Особливості функціонального стану юних гімнастів під впливом фізичних навантажень різної інтенсивності</w:t>
      </w:r>
    </w:p>
    <w:p w:rsidR="00AD4673" w:rsidRDefault="00AD4673" w:rsidP="00AD4673">
      <w:pPr>
        <w:pStyle w:val="1"/>
        <w:spacing w:line="480" w:lineRule="auto"/>
        <w:ind w:left="0" w:firstLine="546"/>
        <w:rPr>
          <w:szCs w:val="28"/>
        </w:rPr>
      </w:pP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Актуальність.</w:t>
      </w:r>
      <w:r>
        <w:rPr>
          <w:sz w:val="28"/>
          <w:szCs w:val="28"/>
          <w:lang w:val="uk-UA"/>
        </w:rPr>
        <w:t xml:space="preserve"> Зростання інтенсивності тренувальних навантажень в спортивній гімнастиці на сьогоднішній день впливають на розвиток загальної та спеціальної працездатності спортсменів. Це вимагає вдосконалення нормативів спеціальної фізичної підготовки та методів контролю </w:t>
      </w:r>
      <w:proofErr w:type="spellStart"/>
      <w:r>
        <w:rPr>
          <w:sz w:val="28"/>
          <w:szCs w:val="28"/>
          <w:lang w:val="uk-UA"/>
        </w:rPr>
        <w:t>переносимості</w:t>
      </w:r>
      <w:proofErr w:type="spellEnd"/>
      <w:r>
        <w:rPr>
          <w:sz w:val="28"/>
          <w:szCs w:val="28"/>
          <w:lang w:val="uk-UA"/>
        </w:rPr>
        <w:t xml:space="preserve"> тренувальних навантажень гімнастами [3-6].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Тренування в спортивній гімнастиці відрізняються від інших видів спорту високою координаційною складністю, вищим рівнем </w:t>
      </w:r>
      <w:proofErr w:type="spellStart"/>
      <w:r>
        <w:rPr>
          <w:sz w:val="28"/>
          <w:szCs w:val="28"/>
          <w:lang w:val="uk-UA"/>
        </w:rPr>
        <w:t>спеціалізованості</w:t>
      </w:r>
      <w:proofErr w:type="spellEnd"/>
      <w:r>
        <w:rPr>
          <w:sz w:val="28"/>
          <w:szCs w:val="28"/>
          <w:lang w:val="uk-UA"/>
        </w:rPr>
        <w:t xml:space="preserve"> тренувальних засобів, а концепція управління тренувальними навантаженнями побудована на єдності навантаження та відновлення, на регулюванні функціонального стану спортсмена шляхом  використання і чергування великих, середніх та малих навантажень [6]. Тому в навчально-тренувальному процесі рівень фізичних навантажень різної інтенсивності визначається, в основному, за двома групами показників, що характеризують значимість цих навантажень. Перша: </w:t>
      </w:r>
      <w:proofErr w:type="spellStart"/>
      <w:r>
        <w:rPr>
          <w:sz w:val="28"/>
          <w:szCs w:val="28"/>
          <w:lang w:val="uk-UA"/>
        </w:rPr>
        <w:t>“зовнішні”</w:t>
      </w:r>
      <w:proofErr w:type="spellEnd"/>
      <w:r>
        <w:rPr>
          <w:sz w:val="28"/>
          <w:szCs w:val="28"/>
          <w:lang w:val="uk-UA"/>
        </w:rPr>
        <w:t xml:space="preserve"> - кількість вправ, які дозуються так, щоб забезпечити розвиток адаптивних реакцій, </w:t>
      </w:r>
      <w:r>
        <w:rPr>
          <w:sz w:val="28"/>
          <w:szCs w:val="28"/>
          <w:lang w:val="uk-UA"/>
        </w:rPr>
        <w:lastRenderedPageBreak/>
        <w:t>успішне навчання рухам і досягнення належної підготовленості до змагань. Друга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uk-UA"/>
        </w:rPr>
        <w:t>“внутрішні”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фізіологічні показники реалізації термінового та довгострокового станів адаптації до тренувальних навантажень, особливо високої інтенсивності. Ці показники навантаження є взаємозалежними, у різних умовах фізичної діяльності будуть виступати поперемінно як причини. </w:t>
      </w:r>
      <w:proofErr w:type="spellStart"/>
      <w:r>
        <w:rPr>
          <w:sz w:val="28"/>
          <w:szCs w:val="28"/>
          <w:lang w:val="uk-UA"/>
        </w:rPr>
        <w:t>“Внутрішні”</w:t>
      </w:r>
      <w:proofErr w:type="spellEnd"/>
      <w:r>
        <w:rPr>
          <w:sz w:val="28"/>
          <w:szCs w:val="28"/>
          <w:lang w:val="uk-UA"/>
        </w:rPr>
        <w:t xml:space="preserve"> показники будуть накладати обмеження на </w:t>
      </w:r>
      <w:proofErr w:type="spellStart"/>
      <w:r>
        <w:rPr>
          <w:sz w:val="28"/>
          <w:szCs w:val="28"/>
          <w:lang w:val="uk-UA"/>
        </w:rPr>
        <w:t>“зовнішні”</w:t>
      </w:r>
      <w:proofErr w:type="spellEnd"/>
      <w:r w:rsidRPr="00AE6324">
        <w:rPr>
          <w:sz w:val="28"/>
          <w:szCs w:val="28"/>
          <w:lang w:val="uk-UA"/>
        </w:rPr>
        <w:t xml:space="preserve"> [5]</w:t>
      </w:r>
      <w:r>
        <w:rPr>
          <w:sz w:val="28"/>
          <w:szCs w:val="28"/>
          <w:lang w:val="uk-UA"/>
        </w:rPr>
        <w:t>.</w:t>
      </w:r>
    </w:p>
    <w:p w:rsidR="00AD4673" w:rsidRDefault="00AD4673" w:rsidP="00AD4673">
      <w:pPr>
        <w:pStyle w:val="2"/>
        <w:spacing w:line="480" w:lineRule="auto"/>
        <w:ind w:left="0" w:firstLine="546"/>
        <w:rPr>
          <w:szCs w:val="28"/>
        </w:rPr>
      </w:pPr>
      <w:r>
        <w:rPr>
          <w:szCs w:val="28"/>
        </w:rPr>
        <w:t>Сьогодні у  підготовці юних гімнастів на сучасному етапі, починаючи з 13-14 років використовуються елементи методів регулювання тренувальних навантажень, які характерні для гімнастів зрілого віку. Метою даного дослідження є визначити вплив фізичного навантаження високої інтенсивності на організм спортсмена з метою оптимізації тренувального процесу на етапі спеціалізованої підготовки юних гімнастів [6].</w:t>
      </w:r>
    </w:p>
    <w:p w:rsidR="00AD4673" w:rsidRDefault="00AD4673" w:rsidP="00AD4673">
      <w:pPr>
        <w:pStyle w:val="2"/>
        <w:spacing w:line="480" w:lineRule="auto"/>
        <w:ind w:left="0" w:firstLine="546"/>
        <w:rPr>
          <w:szCs w:val="28"/>
        </w:rPr>
      </w:pPr>
      <w:r>
        <w:rPr>
          <w:b/>
          <w:bCs/>
          <w:szCs w:val="28"/>
        </w:rPr>
        <w:t>Методи дослідження.</w:t>
      </w:r>
      <w:r>
        <w:rPr>
          <w:szCs w:val="28"/>
        </w:rPr>
        <w:t xml:space="preserve"> Реакція на тренувальні навантаження різної інтенсивності вивчалась у 20 юних гімнастів віком 12-14 років, які тренуються за програмою 1 дорослого розряду за показниками серцево-судинної системи (ЧСС артеріальний тиск), диференціювання зусилля 50% максимального, ортостатична проба до і після контрольного тренувального заняття.</w:t>
      </w:r>
    </w:p>
    <w:p w:rsidR="00AD4673" w:rsidRPr="00AE6324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вирішення поставлених завдань використовувались наступні методи дослідження</w:t>
      </w:r>
      <w:r w:rsidRPr="00AE632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теоретичний аналіз і узагальнення науково-методичної літератури</w:t>
      </w:r>
      <w:r w:rsidRPr="00AE6324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педагогічні спостереження</w:t>
      </w:r>
      <w:r w:rsidRPr="00AE6324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хронометрування і </w:t>
      </w:r>
      <w:proofErr w:type="spellStart"/>
      <w:r>
        <w:rPr>
          <w:sz w:val="28"/>
          <w:szCs w:val="28"/>
          <w:lang w:val="uk-UA"/>
        </w:rPr>
        <w:t>пульсометрія</w:t>
      </w:r>
      <w:proofErr w:type="spellEnd"/>
      <w:r>
        <w:rPr>
          <w:sz w:val="28"/>
          <w:szCs w:val="28"/>
          <w:lang w:val="uk-UA"/>
        </w:rPr>
        <w:t xml:space="preserve"> тренувальних занять</w:t>
      </w:r>
      <w:r w:rsidRPr="00AE6324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педагогічне тестування</w:t>
      </w:r>
      <w:r w:rsidRPr="00AE6324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педагогічний експеримент.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Дослідження проводилось у передзмагальному періоді підготовки. Рівень навантаження контрольного тренування враховував параметри навантаження тренування попереднього базового мікроциклу. Зміст аналізованого контрольного тренування передбачав збільшення обсягу фізичного навантаження по елементам таким, що складало 165-175</w:t>
      </w:r>
      <w:r>
        <w:rPr>
          <w:sz w:val="28"/>
          <w:szCs w:val="28"/>
        </w:rPr>
        <w:t xml:space="preserve">% </w:t>
      </w:r>
      <w:r>
        <w:rPr>
          <w:sz w:val="28"/>
          <w:szCs w:val="28"/>
          <w:lang w:val="uk-UA"/>
        </w:rPr>
        <w:t xml:space="preserve">від рівня попереднього. При цьому збільшувалась кількість виконуваних комбінацій - до 24-30 за одне заняття. Для визначення індивідуального розміру навантаження використовувався коефіцієнт індивідуальної складності </w:t>
      </w:r>
      <w:r w:rsidRPr="00AE6324">
        <w:rPr>
          <w:sz w:val="28"/>
          <w:szCs w:val="28"/>
          <w:lang w:val="uk-UA"/>
        </w:rPr>
        <w:t>[6]</w:t>
      </w:r>
      <w:r>
        <w:rPr>
          <w:sz w:val="28"/>
          <w:szCs w:val="28"/>
          <w:lang w:val="uk-UA"/>
        </w:rPr>
        <w:t>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Результати дослідження і їх обговорення.</w:t>
      </w:r>
      <w:r>
        <w:rPr>
          <w:sz w:val="28"/>
          <w:szCs w:val="28"/>
          <w:lang w:val="uk-UA"/>
        </w:rPr>
        <w:t xml:space="preserve"> Аналіз дослідження показав, що використаний варіант контрольного тренування викликає виражену втому, що може забезпечити значний тренувальний ефект, типовий для використання навантажень такої інтенсивності. З таблиці видно, що виразність змін показників функціонального стану у юних гімнастів відзначається більшими змінами, ніж у гімнастів зрілого віку [2].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Такий характер і ступінь зрушення серцево-судинної системи є відбитком глобальної втоми, викликаної загальною напруженістю контрольного тренування. Можна припустити, що при тренуваннях такої інтенсивності забезпечується високий стимул для формування спеціальної витривалості юних гімнастів, що є однією з головних умов структури підготовленості в сучасній  спортивній гімнастиці. Наявність зрушень припускає обов’язковий контроль </w:t>
      </w:r>
      <w:proofErr w:type="spellStart"/>
      <w:r>
        <w:rPr>
          <w:sz w:val="28"/>
          <w:szCs w:val="28"/>
          <w:lang w:val="uk-UA"/>
        </w:rPr>
        <w:t>“внутрішнього”</w:t>
      </w:r>
      <w:proofErr w:type="spellEnd"/>
      <w:r>
        <w:rPr>
          <w:sz w:val="28"/>
          <w:szCs w:val="28"/>
          <w:lang w:val="uk-UA"/>
        </w:rPr>
        <w:t xml:space="preserve"> навантаження і змін функціонального стану юних гімнастів не тільки після тренувального заняття </w:t>
      </w:r>
      <w:r>
        <w:rPr>
          <w:sz w:val="28"/>
          <w:szCs w:val="28"/>
          <w:lang w:val="uk-UA"/>
        </w:rPr>
        <w:lastRenderedPageBreak/>
        <w:t xml:space="preserve">високої інтенсивності, але й при повторенні декількох тренувань на фоні втоми. Ця необхідність полягає в тому, що у деяких юних гімнастів відзначається несприятливий тип реакції, який вимагає корекції навантаження. Проте, якщо порівнювати тривалість відновлення юних спортсменів після тренувань такого типу з висококваліфікованими гімнастами, то не дивлячись на значно менші навантаження, ступінь відновлення перших наступає значно пізніше, ніж у других </w:t>
      </w:r>
      <w:r>
        <w:rPr>
          <w:sz w:val="28"/>
          <w:szCs w:val="28"/>
        </w:rPr>
        <w:t>[5]</w:t>
      </w:r>
      <w:r>
        <w:rPr>
          <w:sz w:val="28"/>
          <w:szCs w:val="28"/>
          <w:lang w:val="uk-UA"/>
        </w:rPr>
        <w:t>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Наведені дані свідчать про виникнення в підлітковому віці механізмів, що забезпечують надійність виконання технічних дій юними гімнастами в умовах наростаючої втоми під впливом тренувальних навантажень високої інтенсивності. Можна вважати, що така спроможність протистояти накопиченню явищ втоми формується поступово і виявляється після 13-14 років. Водночас в цьому віці така спроможність у значній мірі залежить від рівня спортивної кваліфікації та функціональної підготовленості. Це обумовлено більш швидким відновленням після великих тренувальних навантажень гімнастів вищої кваліфікації </w:t>
      </w:r>
      <w:r>
        <w:rPr>
          <w:sz w:val="28"/>
          <w:szCs w:val="28"/>
        </w:rPr>
        <w:t>[2]</w:t>
      </w:r>
      <w:r>
        <w:rPr>
          <w:sz w:val="28"/>
          <w:szCs w:val="28"/>
          <w:lang w:val="uk-UA"/>
        </w:rPr>
        <w:t>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Висновок.</w:t>
      </w:r>
      <w:r>
        <w:rPr>
          <w:sz w:val="28"/>
          <w:szCs w:val="28"/>
          <w:lang w:val="uk-UA"/>
        </w:rPr>
        <w:t xml:space="preserve"> Таким чином, використання контрольних тренувань з великим об’ємом та інтенсивністю фізичних </w:t>
      </w:r>
      <w:proofErr w:type="spellStart"/>
      <w:r>
        <w:rPr>
          <w:sz w:val="28"/>
          <w:szCs w:val="28"/>
          <w:lang w:val="uk-UA"/>
        </w:rPr>
        <w:t>навантажкнь</w:t>
      </w:r>
      <w:proofErr w:type="spellEnd"/>
      <w:r>
        <w:rPr>
          <w:sz w:val="28"/>
          <w:szCs w:val="28"/>
          <w:lang w:val="uk-UA"/>
        </w:rPr>
        <w:t xml:space="preserve"> у віці 12-14 років можуть бути важливим моментом інтенсифікації навчально-тренувального процесу в період спеціалізованої базової підготовки юних гімнастів. Однак, їхнє використання вимагає підвищеної обережності та застосування спеціального контролю за ступенем реакції організму в підлітковому віці на високі тренувальні навантаження та швидкістю відновлення після них.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Подальші дослідження в цьому напрямку створять можливості вдосконалити методику моделювання тренувальних навантажень у підготовці юних гімнастів віком 12-14 років, вчасно визначати недоліки в спортивному тренуванні на даному етапі, виявити перспективних гімнастів, забезпечивши цілеспрямований ріст їх показників фізичної працездатності та розвитку.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</w:p>
    <w:p w:rsidR="00AD4673" w:rsidRDefault="00AD4673" w:rsidP="00AD4673">
      <w:pPr>
        <w:spacing w:line="480" w:lineRule="auto"/>
        <w:ind w:firstLine="546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Список літератури</w:t>
      </w:r>
      <w:r>
        <w:rPr>
          <w:sz w:val="28"/>
          <w:szCs w:val="28"/>
        </w:rPr>
        <w:t>: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Аркаев</w:t>
      </w:r>
      <w:proofErr w:type="spellEnd"/>
      <w:r>
        <w:rPr>
          <w:sz w:val="28"/>
          <w:szCs w:val="28"/>
          <w:lang w:val="uk-UA"/>
        </w:rPr>
        <w:t xml:space="preserve"> Л. Я., Сучили Н. Г. </w:t>
      </w:r>
      <w:proofErr w:type="spellStart"/>
      <w:r>
        <w:rPr>
          <w:sz w:val="28"/>
          <w:szCs w:val="28"/>
          <w:lang w:val="uk-UA"/>
        </w:rPr>
        <w:t>Методологические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основы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современной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системы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подготовки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гимнастов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//Теория и методика физ. культуры.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1997</w:t>
      </w:r>
      <w:r>
        <w:rPr>
          <w:sz w:val="28"/>
          <w:szCs w:val="28"/>
          <w:lang w:val="uk-UA"/>
        </w:rPr>
        <w:t xml:space="preserve">. -   </w:t>
      </w:r>
      <w:r>
        <w:rPr>
          <w:sz w:val="28"/>
          <w:szCs w:val="28"/>
        </w:rPr>
        <w:t>№ 11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17-25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 Иорданская Ф.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А. Комплексная медико-биологическая методика определения специальной </w:t>
      </w:r>
      <w:proofErr w:type="spellStart"/>
      <w:r>
        <w:rPr>
          <w:sz w:val="28"/>
          <w:szCs w:val="28"/>
        </w:rPr>
        <w:t>тренированости</w:t>
      </w:r>
      <w:proofErr w:type="spellEnd"/>
      <w:r>
        <w:rPr>
          <w:sz w:val="28"/>
          <w:szCs w:val="28"/>
        </w:rPr>
        <w:t xml:space="preserve"> гимнастов// Теория и практика </w:t>
      </w:r>
      <w:proofErr w:type="spellStart"/>
      <w:r>
        <w:rPr>
          <w:sz w:val="28"/>
          <w:szCs w:val="28"/>
        </w:rPr>
        <w:t>фыз</w:t>
      </w:r>
      <w:proofErr w:type="spellEnd"/>
      <w:r>
        <w:rPr>
          <w:sz w:val="28"/>
          <w:szCs w:val="28"/>
        </w:rPr>
        <w:t>. культуры.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1984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 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21-23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 Платонов 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 Общая теория подготовки спортсменов в олимпийском спорте.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Киев: Олимпийская литература, 1997.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584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Плюткин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Б., Рубин 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С., </w:t>
      </w:r>
      <w:proofErr w:type="spellStart"/>
      <w:r>
        <w:rPr>
          <w:sz w:val="28"/>
          <w:szCs w:val="28"/>
        </w:rPr>
        <w:t>Аркаев</w:t>
      </w:r>
      <w:proofErr w:type="spellEnd"/>
      <w:r>
        <w:rPr>
          <w:sz w:val="28"/>
          <w:szCs w:val="28"/>
        </w:rPr>
        <w:t xml:space="preserve"> 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Я. Проблема индивидуализации модельных характеристик специальной физической подготовки сильнейших гимнастов// Научно-спортивный вестник.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1983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 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17-19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Савчин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Хара</w:t>
      </w:r>
      <w:r>
        <w:rPr>
          <w:sz w:val="28"/>
          <w:szCs w:val="28"/>
          <w:lang w:val="uk-UA"/>
        </w:rPr>
        <w:t>ктеристи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анаэробной и аэробной рабочей производительности юных гимнастов 7-15 лет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 Наука в олимпийском спорте.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-1998.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 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41-45</w:t>
      </w:r>
    </w:p>
    <w:p w:rsidR="00AD4673" w:rsidRDefault="00AD4673" w:rsidP="00AD4673">
      <w:pPr>
        <w:spacing w:line="480" w:lineRule="auto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</w:t>
      </w:r>
      <w:proofErr w:type="spellStart"/>
      <w:r>
        <w:rPr>
          <w:sz w:val="28"/>
          <w:szCs w:val="28"/>
        </w:rPr>
        <w:t>Смолевский</w:t>
      </w:r>
      <w:proofErr w:type="spellEnd"/>
      <w:r>
        <w:rPr>
          <w:sz w:val="28"/>
          <w:szCs w:val="28"/>
        </w:rPr>
        <w:t xml:space="preserve"> 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М., </w:t>
      </w:r>
      <w:proofErr w:type="spellStart"/>
      <w:r>
        <w:rPr>
          <w:sz w:val="28"/>
          <w:szCs w:val="28"/>
        </w:rPr>
        <w:t>Гавердовский</w:t>
      </w:r>
      <w:proofErr w:type="spellEnd"/>
      <w:r>
        <w:rPr>
          <w:sz w:val="28"/>
          <w:szCs w:val="28"/>
        </w:rPr>
        <w:t xml:space="preserve"> Ю.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К. Спортивная гимнастика.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Киев: Олимпийская литература, 1999.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465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</w:p>
    <w:p w:rsidR="00AD4673" w:rsidRPr="00AE6324" w:rsidRDefault="00AD4673" w:rsidP="00AD4673">
      <w:pPr>
        <w:pStyle w:val="a3"/>
        <w:rPr>
          <w:szCs w:val="28"/>
          <w:lang w:val="ru-RU"/>
        </w:rPr>
      </w:pPr>
      <w:r>
        <w:rPr>
          <w:szCs w:val="28"/>
        </w:rPr>
        <w:br w:type="page"/>
      </w:r>
      <w:r>
        <w:rPr>
          <w:b/>
          <w:bCs/>
          <w:szCs w:val="28"/>
        </w:rPr>
        <w:lastRenderedPageBreak/>
        <w:t>Резюме.</w:t>
      </w:r>
      <w:r>
        <w:rPr>
          <w:szCs w:val="28"/>
        </w:rPr>
        <w:t xml:space="preserve"> В статті показано, що використання тренувальних навантажень великої інтенсивності є важливим моментом інтенсифікації навчально-тренувального процесу в поєднанні з контролем за ступенем реакції організму юних гімнастів віком 12-14 років на такі навантаження та швидкістю відновлення після них. </w:t>
      </w:r>
    </w:p>
    <w:p w:rsidR="00AD4673" w:rsidRDefault="00AD4673" w:rsidP="00AD4673">
      <w:pPr>
        <w:pStyle w:val="a3"/>
        <w:rPr>
          <w:szCs w:val="28"/>
          <w:lang w:val="en-US"/>
        </w:rPr>
      </w:pPr>
      <w:proofErr w:type="gramStart"/>
      <w:r>
        <w:rPr>
          <w:b/>
          <w:bCs/>
          <w:szCs w:val="28"/>
          <w:lang w:val="en-US"/>
        </w:rPr>
        <w:t>Summary</w:t>
      </w:r>
      <w:r>
        <w:rPr>
          <w:szCs w:val="28"/>
          <w:lang w:val="en-US"/>
        </w:rPr>
        <w:t>.</w:t>
      </w:r>
      <w:proofErr w:type="gramEnd"/>
      <w:r>
        <w:rPr>
          <w:szCs w:val="28"/>
          <w:lang w:val="en-US"/>
        </w:rPr>
        <w:t xml:space="preserve"> In clause is shown that use appreciable training of loads is by a necessary condition intensifications of process of preparation, paying attention thus on </w:t>
      </w:r>
      <w:proofErr w:type="spellStart"/>
      <w:r>
        <w:rPr>
          <w:szCs w:val="28"/>
          <w:lang w:val="en-US"/>
        </w:rPr>
        <w:t>phylums</w:t>
      </w:r>
      <w:proofErr w:type="spellEnd"/>
      <w:r>
        <w:rPr>
          <w:szCs w:val="28"/>
          <w:lang w:val="en-US"/>
        </w:rPr>
        <w:t xml:space="preserve"> of reaction on loads and speed of regeneration of an </w:t>
      </w:r>
      <w:proofErr w:type="spellStart"/>
      <w:r>
        <w:rPr>
          <w:szCs w:val="28"/>
          <w:lang w:val="en-US"/>
        </w:rPr>
        <w:t>organizm</w:t>
      </w:r>
      <w:proofErr w:type="spellEnd"/>
      <w:r>
        <w:rPr>
          <w:szCs w:val="28"/>
          <w:lang w:val="en-US"/>
        </w:rPr>
        <w:t xml:space="preserve"> of the </w:t>
      </w:r>
      <w:proofErr w:type="spellStart"/>
      <w:r>
        <w:rPr>
          <w:szCs w:val="28"/>
          <w:lang w:val="en-US"/>
        </w:rPr>
        <w:t>sportsmens</w:t>
      </w:r>
      <w:proofErr w:type="spellEnd"/>
      <w:r>
        <w:rPr>
          <w:szCs w:val="28"/>
          <w:lang w:val="en-US"/>
        </w:rPr>
        <w:t xml:space="preserve"> in the age of 12-14 years.</w:t>
      </w:r>
    </w:p>
    <w:p w:rsidR="00AD4673" w:rsidRDefault="00AD4673" w:rsidP="008330BF">
      <w:pPr>
        <w:spacing w:line="480" w:lineRule="auto"/>
        <w:ind w:firstLine="546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Зміна показників функціонального стану серцево-судинної системи юних гімнастів 13-14 років під впливом  тренування високої інтенсивності</w:t>
      </w:r>
    </w:p>
    <w:p w:rsidR="00AD4673" w:rsidRDefault="00AD4673" w:rsidP="00AD467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tbl>
      <w:tblPr>
        <w:tblW w:w="957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2307"/>
        <w:gridCol w:w="2184"/>
        <w:gridCol w:w="2340"/>
      </w:tblGrid>
      <w:tr w:rsidR="00AD4673" w:rsidTr="00AD4673">
        <w:trPr>
          <w:trHeight w:val="65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Вихідні до тренування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Відразу після тренування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Через тиждень після тренування</w:t>
            </w:r>
          </w:p>
        </w:tc>
      </w:tr>
      <w:tr w:rsidR="00AD4673" w:rsidTr="00AD467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ЧСС у стані спокою (уд.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хв.)</w:t>
            </w:r>
            <w:r w:rsidRPr="00AE63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70.6 ± 2.8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98.2 ± 3.1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69.8 ± 2.4</w:t>
            </w:r>
          </w:p>
        </w:tc>
      </w:tr>
      <w:tr w:rsidR="00AD4673" w:rsidTr="00AD467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Приріст ЧСС на ортостатичну пробу (уд.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хв.)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17.1± 2.1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30.8 ± 2.4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 ± 2.0</w:t>
            </w:r>
          </w:p>
        </w:tc>
      </w:tr>
      <w:tr w:rsidR="00AD4673" w:rsidTr="00AD467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Артеріальний тиск крові (мм. </w:t>
            </w:r>
            <w:proofErr w:type="spellStart"/>
            <w:r>
              <w:rPr>
                <w:sz w:val="28"/>
                <w:szCs w:val="28"/>
                <w:lang w:val="uk-UA"/>
              </w:rPr>
              <w:t>рт</w:t>
            </w:r>
            <w:proofErr w:type="spellEnd"/>
            <w:r>
              <w:rPr>
                <w:sz w:val="28"/>
                <w:szCs w:val="28"/>
                <w:lang w:val="uk-UA"/>
              </w:rPr>
              <w:t>. ст.)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116.8/67.7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118.4/76.2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113.2/65.4</w:t>
            </w:r>
          </w:p>
        </w:tc>
      </w:tr>
      <w:tr w:rsidR="00AD4673" w:rsidTr="00AD467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Диференціювання зусилля (середня помилка з 3 спроб відтворення 50% зусилля від </w:t>
            </w:r>
            <w:proofErr w:type="spellStart"/>
            <w:r>
              <w:rPr>
                <w:sz w:val="28"/>
                <w:szCs w:val="28"/>
                <w:lang w:val="uk-UA"/>
              </w:rPr>
              <w:t>max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</w:rPr>
              <w:t>, (%)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  <w:lang w:val="uk-UA"/>
              </w:rPr>
              <w:t xml:space="preserve">±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±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73" w:rsidRDefault="00AD46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±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08</w:t>
            </w:r>
          </w:p>
        </w:tc>
      </w:tr>
    </w:tbl>
    <w:p w:rsidR="0000306B" w:rsidRDefault="0000306B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uk-UA"/>
        </w:rPr>
      </w:pPr>
    </w:p>
    <w:p w:rsidR="00AD4673" w:rsidRDefault="00AD4673">
      <w:pPr>
        <w:rPr>
          <w:lang w:val="en-US"/>
        </w:rPr>
      </w:pPr>
    </w:p>
    <w:p w:rsidR="00AE6324" w:rsidRPr="00AE6324" w:rsidRDefault="00AE6324" w:rsidP="00AE632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Матеріали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семінару</w:t>
      </w:r>
      <w:proofErr w:type="spellEnd"/>
    </w:p>
    <w:p w:rsidR="00AE6324" w:rsidRDefault="00AE6324" w:rsidP="00AE6324">
      <w:pPr>
        <w:rPr>
          <w:sz w:val="44"/>
          <w:szCs w:val="44"/>
          <w:lang w:val="en-US"/>
        </w:rPr>
      </w:pPr>
      <w:r>
        <w:rPr>
          <w:sz w:val="44"/>
          <w:szCs w:val="44"/>
        </w:rPr>
        <w:t xml:space="preserve"> "</w:t>
      </w:r>
      <w:proofErr w:type="spellStart"/>
      <w:r>
        <w:rPr>
          <w:sz w:val="44"/>
          <w:szCs w:val="44"/>
        </w:rPr>
        <w:t>Перші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Міжнародні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читання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присвячені</w:t>
      </w:r>
      <w:proofErr w:type="spellEnd"/>
      <w:r>
        <w:rPr>
          <w:sz w:val="44"/>
          <w:szCs w:val="44"/>
        </w:rPr>
        <w:t xml:space="preserve"> 80-й </w:t>
      </w:r>
      <w:proofErr w:type="spellStart"/>
      <w:r>
        <w:rPr>
          <w:sz w:val="44"/>
          <w:szCs w:val="44"/>
        </w:rPr>
        <w:t>річниці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</w:t>
      </w:r>
      <w:proofErr w:type="spellEnd"/>
      <w:r>
        <w:rPr>
          <w:sz w:val="44"/>
          <w:szCs w:val="44"/>
        </w:rPr>
        <w:t xml:space="preserve"> дня </w:t>
      </w:r>
      <w:proofErr w:type="spellStart"/>
      <w:r>
        <w:rPr>
          <w:sz w:val="44"/>
          <w:szCs w:val="44"/>
        </w:rPr>
        <w:t>народження</w:t>
      </w:r>
      <w:proofErr w:type="spellEnd"/>
      <w:r>
        <w:rPr>
          <w:sz w:val="44"/>
          <w:szCs w:val="44"/>
        </w:rPr>
        <w:t xml:space="preserve"> проф. Б.М. </w:t>
      </w:r>
      <w:proofErr w:type="spellStart"/>
      <w:r>
        <w:rPr>
          <w:sz w:val="44"/>
          <w:szCs w:val="44"/>
        </w:rPr>
        <w:t>Шияна</w:t>
      </w:r>
      <w:proofErr w:type="spellEnd"/>
      <w:r>
        <w:rPr>
          <w:sz w:val="44"/>
          <w:szCs w:val="44"/>
        </w:rPr>
        <w:t xml:space="preserve">"  </w:t>
      </w:r>
    </w:p>
    <w:p w:rsidR="00AE6324" w:rsidRDefault="00AE6324" w:rsidP="00AE6324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</w:rPr>
        <w:t xml:space="preserve">м. </w:t>
      </w:r>
      <w:proofErr w:type="spellStart"/>
      <w:r>
        <w:rPr>
          <w:sz w:val="44"/>
          <w:szCs w:val="44"/>
        </w:rPr>
        <w:t>Тернопіль</w:t>
      </w:r>
      <w:proofErr w:type="spellEnd"/>
      <w:r>
        <w:rPr>
          <w:sz w:val="44"/>
          <w:szCs w:val="44"/>
        </w:rPr>
        <w:t xml:space="preserve">, 24-25 </w:t>
      </w:r>
      <w:proofErr w:type="spellStart"/>
      <w:r>
        <w:rPr>
          <w:sz w:val="44"/>
          <w:szCs w:val="44"/>
        </w:rPr>
        <w:t>червня</w:t>
      </w:r>
      <w:proofErr w:type="spellEnd"/>
      <w:r>
        <w:rPr>
          <w:sz w:val="44"/>
          <w:szCs w:val="44"/>
        </w:rPr>
        <w:t xml:space="preserve"> 2014 року.</w:t>
      </w:r>
    </w:p>
    <w:p w:rsidR="00AE6324" w:rsidRPr="00AE6324" w:rsidRDefault="00AE6324" w:rsidP="00AE6324">
      <w:pPr>
        <w:jc w:val="center"/>
        <w:rPr>
          <w:lang w:val="en-US"/>
        </w:rPr>
      </w:pPr>
    </w:p>
    <w:sectPr w:rsidR="00AE6324" w:rsidRPr="00AE6324" w:rsidSect="0000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673"/>
    <w:rsid w:val="0000306B"/>
    <w:rsid w:val="002645BF"/>
    <w:rsid w:val="00346C97"/>
    <w:rsid w:val="004E6976"/>
    <w:rsid w:val="007F55BB"/>
    <w:rsid w:val="008330BF"/>
    <w:rsid w:val="00AD4673"/>
    <w:rsid w:val="00AE6324"/>
    <w:rsid w:val="00E1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673"/>
    <w:pPr>
      <w:keepNext/>
      <w:spacing w:line="360" w:lineRule="auto"/>
      <w:ind w:left="546" w:firstLine="468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6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AD4673"/>
    <w:pPr>
      <w:spacing w:line="480" w:lineRule="auto"/>
      <w:ind w:firstLine="546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D46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AD4673"/>
    <w:pPr>
      <w:spacing w:line="360" w:lineRule="auto"/>
      <w:ind w:left="546" w:firstLine="46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AD46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AD4673"/>
    <w:pPr>
      <w:spacing w:line="360" w:lineRule="auto"/>
      <w:ind w:left="546" w:firstLine="468"/>
      <w:jc w:val="center"/>
    </w:pPr>
    <w:rPr>
      <w:b/>
      <w:bCs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AD46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6476-4A5A-4116-BDC7-9932BC74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2001-12-31T21:12:00Z</dcterms:created>
  <dcterms:modified xsi:type="dcterms:W3CDTF">2014-12-08T19:34:00Z</dcterms:modified>
</cp:coreProperties>
</file>