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68" w:rsidRPr="001D4268" w:rsidRDefault="001D4268" w:rsidP="001D4268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УДК</w:t>
      </w:r>
      <w:r w:rsid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370:174</w:t>
      </w:r>
    </w:p>
    <w:p w:rsidR="001D4268" w:rsidRDefault="001D4268" w:rsidP="001D426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УНІВЕРСИТЕТ ТРЕТЬОГО ВІКУ: СОЦІОКУЛЬТУРНЕ Й ОСВІТНЄ СЕРЕДОВИЩЕ ДЛЯ ЛЮДЕЙ ПОХИЛОГО ВІКУ</w:t>
      </w:r>
    </w:p>
    <w:p w:rsidR="001D4268" w:rsidRDefault="001D4268" w:rsidP="001D4268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D4268" w:rsidRPr="00F1772C" w:rsidRDefault="00E84370" w:rsidP="001D4268">
      <w:pPr>
        <w:pStyle w:val="a3"/>
        <w:jc w:val="right"/>
        <w:rPr>
          <w:lang w:val="uk-UA"/>
        </w:rPr>
      </w:pPr>
      <w:r>
        <w:rPr>
          <w:lang w:val="uk-UA"/>
        </w:rPr>
        <w:t>Наталія Чаграк</w:t>
      </w:r>
      <w:r w:rsidR="001D4268" w:rsidRPr="00F1772C">
        <w:rPr>
          <w:lang w:val="uk-UA"/>
        </w:rPr>
        <w:t>,</w:t>
      </w:r>
    </w:p>
    <w:p w:rsidR="001D4268" w:rsidRPr="00F1772C" w:rsidRDefault="001D4268" w:rsidP="001D4268">
      <w:pPr>
        <w:pStyle w:val="a3"/>
        <w:jc w:val="right"/>
        <w:rPr>
          <w:lang w:val="uk-UA"/>
        </w:rPr>
      </w:pPr>
      <w:r w:rsidRPr="00F1772C">
        <w:rPr>
          <w:lang w:val="uk-UA"/>
        </w:rPr>
        <w:t xml:space="preserve">ДВНЗ «Прикарпатський національний університет </w:t>
      </w:r>
    </w:p>
    <w:p w:rsidR="001D4268" w:rsidRPr="00F1772C" w:rsidRDefault="001D4268" w:rsidP="001D4268">
      <w:pPr>
        <w:pStyle w:val="a3"/>
        <w:jc w:val="right"/>
        <w:rPr>
          <w:lang w:val="uk-UA"/>
        </w:rPr>
      </w:pPr>
      <w:r w:rsidRPr="00F1772C">
        <w:rPr>
          <w:lang w:val="uk-UA"/>
        </w:rPr>
        <w:t>імені Василя Стефаника»</w:t>
      </w:r>
    </w:p>
    <w:p w:rsidR="001D4268" w:rsidRPr="001D4268" w:rsidRDefault="001D4268" w:rsidP="001D4268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1D4268" w:rsidRPr="001D4268" w:rsidRDefault="001D4268" w:rsidP="00F1772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Несприятливі тенденції в демографічних процесах, зокрема стрімке старіння </w:t>
      </w:r>
      <w:r w:rsid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населення, створюють</w:t>
      </w: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багато викликів </w:t>
      </w:r>
      <w:r w:rsidR="009C64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економічного,</w:t>
      </w: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соціального </w:t>
      </w:r>
      <w:r w:rsidR="009C64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й культурного </w:t>
      </w: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характеру. Одне з основних завдань суспільства – </w:t>
      </w:r>
      <w:r w:rsidR="009C6466"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збереження людського потенціалу</w:t>
      </w:r>
      <w:r w:rsidR="009C64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що можливо через </w:t>
      </w: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забезпечення соціальної адаптації та </w:t>
      </w:r>
      <w:r w:rsidR="009C64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реадаптації людей похилого віку</w:t>
      </w: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Людина, яка знаходиться поза суспільним і культурним життям, </w:t>
      </w:r>
      <w:r w:rsidR="009C64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втрачає сенс </w:t>
      </w: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і якість життя. Теоретичні і практичні дослідження доводять, що освіта у похилому віці – ефективний адаптаційний механізм, спосіб подальшого розвитку і самореалізації особистості. </w:t>
      </w:r>
      <w:r w:rsid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Успішнішою формою освіти людей похилого віку</w:t>
      </w: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є унів</w:t>
      </w:r>
      <w:r w:rsidR="009C64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ерситети третього віку, головна мета яких – створення умов для активного і позитивного старіння</w:t>
      </w: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="009C64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ивчення досвіду розвинених</w:t>
      </w:r>
      <w:r w:rsidR="00240BB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країн світу в сфері організації </w:t>
      </w: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освіти </w:t>
      </w:r>
      <w:r w:rsidR="00240BB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старших дорослих </w:t>
      </w: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викликає значний інтерес і може стати важливим джерелом </w:t>
      </w:r>
      <w:r w:rsidR="009C64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для аналізу й </w:t>
      </w: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творчого використання його позитивних ідей для формування моделі освітнього середовища людей </w:t>
      </w:r>
      <w:r w:rsidR="009C64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похилого (</w:t>
      </w: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третього</w:t>
      </w:r>
      <w:r w:rsidR="009C64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віку в Україні.</w:t>
      </w:r>
    </w:p>
    <w:p w:rsidR="001D4268" w:rsidRPr="001D4268" w:rsidRDefault="001D4268" w:rsidP="001D42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D4268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Ключові слова: </w:t>
      </w: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люди похилого віку, модель освітнього середовища, старіння населення, </w:t>
      </w:r>
      <w:r w:rsidR="00240BB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старші дорослі, соціальна адаптація, </w:t>
      </w:r>
      <w:r w:rsidR="00663647"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третій вік, </w:t>
      </w:r>
      <w:r w:rsidR="00240BB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університет третього віку.</w:t>
      </w:r>
    </w:p>
    <w:p w:rsidR="00F409C3" w:rsidRPr="001D4268" w:rsidRDefault="00F409C3" w:rsidP="0097441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0B2515" w:rsidRDefault="00CA032F" w:rsidP="007D41B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Тенденції розвитку демографічної ситуації в останні десятиліття</w:t>
      </w:r>
      <w:r w:rsidR="007D41B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зокрема стрімке старіння населення, зниження рівня народжуваності, міграція,  спонукають до</w:t>
      </w:r>
      <w:r w:rsidR="001D4268"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переосмислення потенціалу людей похилого віку</w:t>
      </w:r>
      <w:r w:rsidR="007D41B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задля збереження людського капіталу</w:t>
      </w:r>
      <w:r w:rsidR="001D4268"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7D41B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Відповідно,</w:t>
      </w:r>
      <w:r w:rsidR="00FB676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важливим суспільним завданням стає</w:t>
      </w:r>
      <w:r w:rsidR="007D41B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забезпечення соціальної адаптації</w:t>
      </w:r>
      <w:r w:rsidR="001D4268"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осіб цієї вікової категорії,</w:t>
      </w:r>
      <w:r w:rsidR="007D41B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FB676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створення умов </w:t>
      </w:r>
      <w:r w:rsidR="00FB6764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для продовження їх особистісного розвитку, підвищення професійних компетенцій</w:t>
      </w:r>
      <w:r w:rsidR="00666AA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набуття нових сучасних знань задля глибшого розуміння глобальних процесів, суспільної інтеграції та міжпоколіннєвої комунікації</w:t>
      </w:r>
      <w:r w:rsidR="001D4268"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666AA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Теоретичні й емпіричні</w:t>
      </w:r>
      <w:r w:rsidR="001D4268"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дослідження дово</w:t>
      </w:r>
      <w:r w:rsidR="00666AA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дять, що ефективним</w:t>
      </w:r>
      <w:r w:rsidR="001D4268"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механізмом</w:t>
      </w:r>
      <w:r w:rsidR="00666AA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вирішення цього завдання </w:t>
      </w:r>
      <w:r w:rsid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 навчальна активність</w:t>
      </w:r>
      <w:r w:rsidR="001D4268"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Тому створення умов та</w:t>
      </w:r>
      <w:r w:rsid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залучення старших до освіти</w:t>
      </w:r>
      <w:r w:rsidR="00666AA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має стати одним з головних напрямів</w:t>
      </w:r>
      <w:r w:rsidR="001D4268"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666AA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соціальної </w:t>
      </w:r>
      <w:r w:rsidR="001D4268"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політики</w:t>
      </w:r>
      <w:r w:rsidR="00666AA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держави, яка прагне поступу в усіх сферах суспільного життя</w:t>
      </w:r>
      <w:r w:rsidR="001D4268"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</w:p>
    <w:p w:rsidR="00E84370" w:rsidRPr="00E84370" w:rsidRDefault="00E84370" w:rsidP="00E843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663647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Аналіз наукових праць, присвячених проблемі.</w:t>
      </w:r>
      <w:r w:rsidRPr="00E8437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 контексті дослідження </w:t>
      </w:r>
      <w:r w:rsid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ефективних форм освіти людей похилого віку 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значний інтерес становлять праці зарубіжних та українських науковців з проблем:</w:t>
      </w:r>
    </w:p>
    <w:p w:rsidR="00E84370" w:rsidRPr="00E84370" w:rsidRDefault="00E84370" w:rsidP="00E8437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освіти впродовж життя: 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Е.</w:t>
      </w:r>
      <w:r w:rsid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 </w:t>
      </w:r>
      <w:proofErr w:type="spellStart"/>
      <w:r w:rsid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Браді</w:t>
      </w:r>
      <w:proofErr w:type="spellEnd"/>
      <w:r w:rsid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5C022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 w:rsidR="005C0227" w:rsidRP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5C022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Brady</w:t>
      </w:r>
      <w:r w:rsid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5C0227" w:rsidRP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[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12</w:t>
      </w:r>
      <w:r w:rsidR="005C0227" w:rsidRP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], 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Д. </w:t>
      </w:r>
      <w:proofErr w:type="spellStart"/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Гарвін</w:t>
      </w:r>
      <w:proofErr w:type="spellEnd"/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Garvin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7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Д. Джеймс (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James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[11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А. </w:t>
      </w:r>
      <w:proofErr w:type="spellStart"/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Зих</w:t>
      </w:r>
      <w:proofErr w:type="spellEnd"/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spellStart"/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Zych</w:t>
      </w:r>
      <w:proofErr w:type="spellEnd"/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[4</w:t>
      </w:r>
      <w:r w:rsid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Р. </w:t>
      </w:r>
      <w:proofErr w:type="spellStart"/>
      <w:r w:rsid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Ла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мб</w:t>
      </w:r>
      <w:proofErr w:type="spellEnd"/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Lamb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[12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Р. </w:t>
      </w:r>
      <w:proofErr w:type="spellStart"/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Тровбрідж</w:t>
      </w:r>
      <w:proofErr w:type="spellEnd"/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Trowbridge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[2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М. </w:t>
      </w:r>
      <w:proofErr w:type="spellStart"/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Шінагель</w:t>
      </w:r>
      <w:proofErr w:type="spellEnd"/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spellStart"/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Shinagel</w:t>
      </w:r>
      <w:proofErr w:type="spellEnd"/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[19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 та ін.;</w:t>
      </w:r>
    </w:p>
    <w:p w:rsidR="00E84370" w:rsidRDefault="008F7FF7" w:rsidP="00E8437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освіти людей похилого (третього) віку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 Р. </w:t>
      </w:r>
      <w:proofErr w:type="spellStart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Волд</w:t>
      </w:r>
      <w:proofErr w:type="spellEnd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Wald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24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Б. </w:t>
      </w:r>
      <w:proofErr w:type="spellStart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Грумбрідж</w:t>
      </w:r>
      <w:proofErr w:type="spellEnd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spellStart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Groombridge</w:t>
      </w:r>
      <w:proofErr w:type="spellEnd"/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[9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П. </w:t>
      </w:r>
      <w:proofErr w:type="spellStart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Ласлет</w:t>
      </w:r>
      <w:proofErr w:type="spellEnd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spellStart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Lasslett</w:t>
      </w:r>
      <w:proofErr w:type="spellEnd"/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[13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], </w:t>
      </w:r>
      <w:proofErr w:type="spellStart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Дж</w:t>
      </w:r>
      <w:proofErr w:type="spellEnd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 Трес (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spellStart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Treas</w:t>
      </w:r>
      <w:proofErr w:type="spellEnd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23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М. </w:t>
      </w:r>
      <w:proofErr w:type="spellStart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Фрідман</w:t>
      </w:r>
      <w:proofErr w:type="spellEnd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Freedman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6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], 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Н. Дем’яненко [1], О. </w:t>
      </w:r>
      <w:proofErr w:type="spellStart"/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Сандецька</w:t>
      </w:r>
      <w:proofErr w:type="spellEnd"/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[3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] та </w:t>
      </w:r>
      <w:proofErr w:type="gramStart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ін.;</w:t>
      </w:r>
      <w:proofErr w:type="gramEnd"/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</w:p>
    <w:p w:rsidR="008F7FF7" w:rsidRDefault="008F7FF7" w:rsidP="008F7FF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визначення </w:t>
      </w:r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концептуальних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засад</w:t>
      </w:r>
      <w:r w:rsid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освіти старших дорослих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осіб похилого / 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третього віку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С. Басс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Bass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21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Р. 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Вейс</w:t>
      </w:r>
      <w:proofErr w:type="spellEnd"/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Weiss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Ф. 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Гленденнинг</w:t>
      </w:r>
      <w:proofErr w:type="spellEnd"/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Glendenning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[8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К. Джеймс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James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[11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П.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Ласлетт</w:t>
      </w:r>
      <w:proofErr w:type="spellEnd"/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spellStart"/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Laslett</w:t>
      </w:r>
      <w:proofErr w:type="spellEnd"/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[13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Р. 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вінделл</w:t>
      </w:r>
      <w:proofErr w:type="spellEnd"/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spellStart"/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Swindell</w:t>
      </w:r>
      <w:proofErr w:type="spellEnd"/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[20</w:t>
      </w:r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] та </w:t>
      </w:r>
      <w:proofErr w:type="gramStart"/>
      <w:r w:rsidR="00E84370"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ін.;</w:t>
      </w:r>
      <w:proofErr w:type="gramEnd"/>
    </w:p>
    <w:p w:rsidR="00E84370" w:rsidRPr="008F7FF7" w:rsidRDefault="00E84370" w:rsidP="008F7FF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організації та функціонування університетів третього віку та інститутів для навчання пенсі</w:t>
      </w:r>
      <w:r w:rsid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онерів:</w:t>
      </w:r>
      <w:r w:rsid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В. </w:t>
      </w:r>
      <w:proofErr w:type="spellStart"/>
      <w:r w:rsid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Садлер</w:t>
      </w:r>
      <w:proofErr w:type="spellEnd"/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5C022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</w:t>
      </w:r>
      <w:r w:rsidR="005C0227" w:rsidRP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5C022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Sadler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[18</w:t>
      </w:r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Р. </w:t>
      </w:r>
      <w:r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proofErr w:type="spellStart"/>
      <w:r w:rsid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вінделл</w:t>
      </w:r>
      <w:proofErr w:type="spellEnd"/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</w:t>
      </w:r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spellStart"/>
      <w:r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Swindell</w:t>
      </w:r>
      <w:proofErr w:type="spellEnd"/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[20</w:t>
      </w:r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], </w:t>
      </w:r>
      <w:proofErr w:type="spellStart"/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Дж</w:t>
      </w:r>
      <w:proofErr w:type="spellEnd"/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 </w:t>
      </w:r>
      <w:proofErr w:type="spellStart"/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Томпсон</w:t>
      </w:r>
      <w:proofErr w:type="spellEnd"/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</w:t>
      </w:r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Thompson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[20</w:t>
      </w:r>
      <w:r w:rsid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], Г. </w:t>
      </w:r>
      <w:proofErr w:type="spellStart"/>
      <w:r w:rsid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Руссел</w:t>
      </w:r>
      <w:proofErr w:type="spellEnd"/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5C022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</w:t>
      </w:r>
      <w:r w:rsidR="005C0227" w:rsidRP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5C022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proofErr w:type="spellStart"/>
      <w:r w:rsidR="005C022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Russel</w:t>
      </w:r>
      <w:proofErr w:type="spellEnd"/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[17</w:t>
      </w:r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</w:t>
      </w:r>
      <w:r w:rsid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М. </w:t>
      </w:r>
      <w:proofErr w:type="spellStart"/>
      <w:r w:rsid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Фо</w:t>
      </w:r>
      <w:r w:rsid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рмоза</w:t>
      </w:r>
      <w:proofErr w:type="spellEnd"/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</w:t>
      </w:r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5C022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F</w:t>
      </w:r>
      <w:r w:rsidR="005C0227" w:rsidRPr="005C02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</w:t>
      </w:r>
      <w:proofErr w:type="spellStart"/>
      <w:r w:rsidRPr="008F7FF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rmosa</w:t>
      </w:r>
      <w:proofErr w:type="spellEnd"/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[5</w:t>
      </w:r>
      <w:r w:rsidRPr="008F7FF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 та ін.</w:t>
      </w:r>
    </w:p>
    <w:p w:rsidR="00E84370" w:rsidRPr="00E84370" w:rsidRDefault="008F7FF7" w:rsidP="008F7F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Зважаючи на демографічні тенденції стрімкого старіння населення в Україні, на часі є </w:t>
      </w:r>
      <w:r w:rsidR="00EF070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підтримання і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використання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потенціал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людей похилого (третього) віку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для соціально-економічного розвитку та збереження культурної самобутності країни. 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Новітні форми, методи і технології реалізації сучасної соціальної політики щодо осіб похилого віку повинні стосуватися, насамперед, 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розробки і впровадження концепції геронтологічної п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олітики, зокрема створення можливостей </w:t>
      </w:r>
      <w:r w:rsidR="00EF070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 умов для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освіти </w:t>
      </w:r>
      <w:r w:rsidR="00EF070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старших дорослих 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як </w:t>
      </w:r>
      <w:r w:rsidR="00EF070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важливої складової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EF070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їх</w:t>
      </w:r>
      <w:r w:rsidR="00EF070C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соціаль</w:t>
      </w:r>
      <w:r w:rsidR="00EF070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ного захисту та підтримки</w:t>
      </w:r>
      <w:r w:rsidR="00E84370"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E84370" w:rsidRDefault="00EF070C" w:rsidP="009C646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63647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Мета статті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– </w:t>
      </w:r>
      <w:r w:rsidRPr="00EF070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обґрунтувати </w:t>
      </w:r>
      <w:r w:rsidR="009C646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соціальну зумовленість</w:t>
      </w:r>
      <w:r w:rsidRPr="00EF070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освіти людей похилого віку, окреслити принципи створення моделі освітнього с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ередовища для старших дорослих</w:t>
      </w:r>
      <w:r w:rsidRPr="00EF070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5450F6" w:rsidRDefault="006F603E" w:rsidP="00DA5D7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Процес </w:t>
      </w:r>
      <w:r w:rsidR="00BF30C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старіння суспільства, який спостерігається упродовж останніх </w:t>
      </w:r>
      <w:r w:rsidR="00CB76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десятиліть в</w:t>
      </w:r>
      <w:r w:rsidR="00BF30C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розвинених країнах світу (через збільшення загальної тривалості життя) і в країнах, що розвиваються (через зниження рівня народжуваності та міграцію), а також економічний та соціальний фактори спонукають старших дорослих (до цієї групи належать і люди похилого віку) </w:t>
      </w:r>
      <w:r w:rsidR="00F53D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удосконалювати набуті раніше професійні компетенції чи здобувати нові задля продовження трудової діяльності, або ж брати участь у різних освітніх програмах (формальних і неформальних) з метою суспільної інтеграції, адаптації до змінюваних умов життя та задоволення власних інтелектуальних та психологічних потреб. Такий запит зумов</w:t>
      </w:r>
      <w:r w:rsidR="009376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лює необхідність </w:t>
      </w:r>
      <w:r w:rsidR="00937622" w:rsidRPr="009376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переосмислення ролі освіти у формуванні </w:t>
      </w:r>
      <w:r w:rsidR="009376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людського капіталу, зокрема у сфері</w:t>
      </w:r>
      <w:r w:rsidR="00937622" w:rsidRPr="009376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професійної підготовки і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перепідготовки старших дорослих, </w:t>
      </w:r>
      <w:r w:rsidR="00937622" w:rsidRPr="009376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</w:t>
      </w:r>
      <w:r w:rsidR="009376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буття нових компетенцій і подолання проблеми суспільної ізоляції осіб похилого віку</w:t>
      </w:r>
      <w:r w:rsidR="00937622" w:rsidRPr="009376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що вигідно як для самої людини, так і для соціально-економічного розвитку </w:t>
      </w:r>
      <w:r w:rsidR="009376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країни </w:t>
      </w:r>
      <w:r w:rsidR="00937622" w:rsidRPr="009376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 збереже</w:t>
      </w:r>
      <w:r w:rsidR="009376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ння її культурної самобутності</w:t>
      </w:r>
      <w:r w:rsidR="00937622" w:rsidRPr="0093762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1D4268" w:rsidRDefault="001D4268" w:rsidP="007D41B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D42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Концепція «освіта впродовж життя», яка активно реалізується в усіх розвинених країнах світу, сьогодні розглядається як один із найважливіших засобів розвитку суспільства, оскільки враховує відкритість освіти для кожної людини. </w:t>
      </w:r>
      <w:r w:rsidR="00C9600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Таким чином, навчальна діяльність перестає бути прерогативою молоді, а університети створюють програми, курси й окремі факультети для старших дорослих.</w:t>
      </w:r>
    </w:p>
    <w:p w:rsidR="00F1772C" w:rsidRDefault="005A230A" w:rsidP="00F10A7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Однією з найпоширеніших форм освіти людей похилого віку в Європі, Австралії та Новій Зеландії є Університет третього віку (УТВ). </w:t>
      </w:r>
      <w:r w:rsidR="00AF34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 широкому розумінні його визначають як соціокультурний центр, де старші люди здобувають нові знання з важливих суспільних проблем, або ж розширюють чи 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удосконалюють</w:t>
      </w:r>
      <w:r w:rsidR="00AF34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набут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 раніше знання й компетенції. В</w:t>
      </w:r>
      <w:r w:rsidR="00AF34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цьому закладі працюють за відповідними методиками і використовують різні форми навчання часто у поєднанні з туризмом. З початку заснування (1972) Університет третього віку став успішним проекто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м, що поширився практично в</w:t>
      </w:r>
      <w:r w:rsidR="00AF34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розвинених країнах на 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усіх континентах. До прикладу, в</w:t>
      </w:r>
      <w:r w:rsidR="00AF34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2010 р. у Великобританії функціонував 731 такий заклад з 228. 873 учасниками освітніх програм, в Австралії – 211</w:t>
      </w:r>
      <w:r w:rsidR="00FD11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інституцій</w:t>
      </w:r>
      <w:r w:rsidR="00AF34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64. 535 особами</w:t>
      </w:r>
      <w:r w:rsidR="00FD11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в Новій Зеландії – 60 УТВ з 10. 154 учасниками, а в Китаї – 19.</w:t>
      </w:r>
      <w:r w:rsidR="00B015A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300 УТВ</w:t>
      </w:r>
      <w:r w:rsidR="00FD11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які відвідували 1. 81 млн осіб </w:t>
      </w:r>
      <w:r w:rsidR="00FD11BA" w:rsidRP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[</w:t>
      </w:r>
      <w:r w:rsidR="005F5C49" w:rsidRP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5, с. </w:t>
      </w:r>
      <w:r w:rsidR="00B015AD" w:rsidRP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114</w:t>
      </w:r>
      <w:r w:rsidR="00FD11BA" w:rsidRP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</w:t>
      </w:r>
      <w:r w:rsidR="00B015AD" w:rsidRP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B015A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Університети третього віку – найбільш пошир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ені й розвинені заклади освіти й</w:t>
      </w:r>
      <w:r w:rsidR="00B015A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соціалізації людей похилого (третього) вік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у, які утворюють широку мережу в</w:t>
      </w:r>
      <w:r w:rsidR="00B015A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багатьох країнах світу, пов’язану Міжнародною асоціацією Університетів третього віку (</w:t>
      </w:r>
      <w:r w:rsidR="00B015A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AUITA</w:t>
      </w:r>
      <w:r w:rsidR="00B015A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B015AD" w:rsidRPr="00B038E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B015A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що має акредитований статус ООН.</w:t>
      </w:r>
    </w:p>
    <w:p w:rsidR="00B015AD" w:rsidRDefault="00B038E4" w:rsidP="001D42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Серед досліджень, які висвітлюють ґенезу, розвиток і перспективи університетів 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третього віку, можна виокремити праці Д. </w:t>
      </w:r>
      <w:proofErr w:type="spellStart"/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Томпсон</w:t>
      </w:r>
      <w:proofErr w:type="spellEnd"/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</w:t>
      </w:r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Thompson</w:t>
      </w:r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В. </w:t>
      </w:r>
      <w:proofErr w:type="spellStart"/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Садлера</w:t>
      </w:r>
      <w:proofErr w:type="spellEnd"/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</w:t>
      </w:r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Sadler</w:t>
      </w:r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М. </w:t>
      </w:r>
      <w:proofErr w:type="spellStart"/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Формози</w:t>
      </w:r>
      <w:proofErr w:type="spellEnd"/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</w:t>
      </w:r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Formosa</w:t>
      </w:r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 численні роботи присвячено вивченню позитивним соціальних наслідків діяльності УТВ як для індивіда, так і для суспільства загалом (</w:t>
      </w:r>
      <w:proofErr w:type="spellStart"/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Свіндел</w:t>
      </w:r>
      <w:proofErr w:type="spellEnd"/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 w:rsidR="00591B4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Swindell</w:t>
      </w:r>
      <w:proofErr w:type="spellEnd"/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Д. </w:t>
      </w:r>
      <w:proofErr w:type="spellStart"/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Томпсон</w:t>
      </w:r>
      <w:proofErr w:type="spellEnd"/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5F5C49" w:rsidRP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</w:t>
      </w:r>
      <w:r w:rsidR="005F5C49" w:rsidRP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Thompson</w:t>
      </w:r>
      <w:r w:rsidR="005F5C49" w:rsidRP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), 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А. </w:t>
      </w:r>
      <w:proofErr w:type="spellStart"/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Лем’ю</w:t>
      </w:r>
      <w:proofErr w:type="spellEnd"/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</w:t>
      </w:r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Lemieux</w:t>
      </w:r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Д. </w:t>
      </w:r>
      <w:proofErr w:type="spellStart"/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Єнерал</w:t>
      </w:r>
      <w:proofErr w:type="spellEnd"/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J</w:t>
      </w:r>
      <w:r w:rsidR="005F5C49" w:rsidRP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591B4A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Yenerall</w:t>
      </w:r>
      <w:proofErr w:type="spellEnd"/>
      <w:r w:rsidR="00591B4A" w:rsidRP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5F5C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). 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Доведено, що У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ніверситет третього віку, виконуючи свою основну функцію – освітню та соціальну – підвищує рівень суспільної інтеграції, самореалізації особистості та якість життя людей похилого віку, а також сприяє </w:t>
      </w:r>
      <w:r w:rsidR="00C6424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реаліз</w:t>
      </w:r>
      <w:r w:rsidR="00591B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ації концепції активного і позитивного старіння. </w:t>
      </w:r>
    </w:p>
    <w:p w:rsidR="002078F8" w:rsidRDefault="002078F8" w:rsidP="001D42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Ідея університету третього віку зародилася у Франції в 1972 р.</w:t>
      </w:r>
      <w:r w:rsidRPr="009753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Професор права П. 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Веллас</w:t>
      </w:r>
      <w:proofErr w:type="spellEnd"/>
      <w:r w:rsidR="002A27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</w:t>
      </w:r>
      <w:r w:rsidR="002A27F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="002A27F8" w:rsidRPr="009753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="009753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97533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Vellas</w:t>
      </w:r>
      <w:proofErr w:type="spellEnd"/>
      <w:r w:rsidR="002A27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97533B" w:rsidRPr="009753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враховуючи демографічну тенденцію збільшення середньої три</w:t>
      </w:r>
      <w:r w:rsidR="009753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валості життя й поліпшення стану здоров’я осіб похилого віку у Франції, вважав, що університети могли б створити відповідні освітні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програми для старших дорослих</w:t>
      </w:r>
      <w:r w:rsidR="009753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 залучити 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їх</w:t>
      </w:r>
      <w:r w:rsidR="009753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до навчальної діяльності, що стало б важливим кроком до підвищення якості життя цієї вікової когорти</w:t>
      </w:r>
      <w:r w:rsid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[21].</w:t>
      </w:r>
      <w:r w:rsidR="009753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П. </w:t>
      </w:r>
      <w:proofErr w:type="spellStart"/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Веллас</w:t>
      </w:r>
      <w:proofErr w:type="spellEnd"/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наголошував, що завдання У</w:t>
      </w:r>
      <w:r w:rsidR="009753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ніверситету третього віку полягає у визначенні </w:t>
      </w:r>
      <w:r w:rsidR="00EE5E4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ролі та </w:t>
      </w:r>
      <w:r w:rsidR="009753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можливостей університету </w:t>
      </w:r>
      <w:r w:rsidR="00EE5E4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 поліпшенні якості життя людей, 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що</w:t>
      </w:r>
      <w:r w:rsidR="00EE5E4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виходять на пенсію, чисельність яких у суспільстві невпинно зростала, а їх соціально-економічне становище було досить скрутне. Вчений сформулював чотири основні завдання нових навчальних закладів: а) підвищення якості життя людей похилого віку; б) реалізація перманентних освітніх програм для осіб похилого віку; в) координування програм геронтологічних до</w:t>
      </w:r>
      <w:r w:rsidR="00EF7A7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сліджень; г) реалізація </w:t>
      </w:r>
      <w:r w:rsid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освітніх програм з геронтології [5, с. 115]. 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Перший У</w:t>
      </w:r>
      <w:r w:rsidR="00DE45B2" w:rsidRPr="00DE45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ніверситет третього віку</w:t>
      </w:r>
      <w:r w:rsidR="00DE45B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було відкрито в м. Тулуза</w:t>
      </w:r>
      <w:r w:rsidR="00DE45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1437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і в ньому міг навчатися кожен, хто вийшов на пенсію (або був пенсійного віку) та мав можливість сплатити номінальну 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</w:t>
      </w:r>
      <w:r w:rsidR="001437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невелику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1437A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вартість навчання. Саме навчання відбувалося у денний час, п’ять разів на тиждень упродовж восьми-дев’яти місяців у рік. Такі освітні програми довели свою успішність і згодом з’явилися </w:t>
      </w:r>
      <w:r w:rsidR="001E130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нові групи старших студентів в інших містах Франції та в континентальних європейських франкомовних країнах. </w:t>
      </w:r>
    </w:p>
    <w:p w:rsidR="007D0A50" w:rsidRDefault="001E1309" w:rsidP="00F10A7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Університети третього віку функціонували при традиційних </w:t>
      </w:r>
      <w:r w:rsidR="00F627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університетах, у кампусі, користуючись устаткуванням, обладнанням та засобами закладу, а також послугами викладачів. Університети третього віку в основному пропонували адаптовані дл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 старших дорослих</w:t>
      </w:r>
      <w:r w:rsidR="00F627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освітні програми, які зосереджувалися переважно на медичних та соціальних проблемах, пов’язаних зі старінням.</w:t>
      </w:r>
      <w:r w:rsidR="00F10A7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F627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1979 р. фахівці у сфері освіти дорослих з Франції та Великобританії видали освітній маніфест,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який став початком формування У</w:t>
      </w:r>
      <w:r w:rsidR="00F627A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ніверситетів третього віку у Великобританії. У цьому зверненні наголошувалося на нагальній потребі</w:t>
      </w:r>
      <w:r w:rsidR="008174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змінити суспільне уявлення про людину похилого віку як залежну від інших і спри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ймати її як особистість, що</w:t>
      </w:r>
      <w:r w:rsidR="008174F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може поділитис</w:t>
      </w:r>
      <w:r w:rsidR="00D73C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 життєвим досвідом, і також є здатною продовжувати навчальну акт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ивність, здобувати нові знання й</w:t>
      </w:r>
      <w:r w:rsidR="00D73C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компе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тенції для подальшого розвитку та</w:t>
      </w:r>
      <w:r w:rsidR="00D73C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самореалізації [</w:t>
      </w:r>
      <w:r w:rsidR="004D6455" w:rsidRP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16</w:t>
      </w:r>
      <w:r w:rsidR="00D73C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</w:t>
      </w:r>
      <w:r w:rsidR="00D73C62" w:rsidRPr="00D73C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Перший британський У</w:t>
      </w:r>
      <w:r w:rsidR="00D73C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ніверситет третього вік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засновано у м. Кембридж</w:t>
      </w:r>
      <w:r w:rsidR="00D73C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 липні 1981 р.; його головні мета – створити середовище </w:t>
      </w:r>
      <w:r w:rsidR="007D0A5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і забезпечити відповідні ресурси </w:t>
      </w:r>
      <w:r w:rsidR="00D73C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для задоволення інтелектуальних потреб та інтересів людей похилого віку, стимулювання їх розумової активності </w:t>
      </w:r>
      <w:r w:rsidR="007D0A5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і, таким чином, </w:t>
      </w:r>
      <w:r w:rsidR="00D73C6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спростувати твердження про спад розумової здатності</w:t>
      </w:r>
      <w:r w:rsidR="007D0A5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 старшому віці </w:t>
      </w:r>
      <w:r w:rsidR="007D0A50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[</w:t>
      </w:r>
      <w:r w:rsidR="004D6455" w:rsidRP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13</w:t>
      </w:r>
      <w:r w:rsidR="007D0A5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</w:t>
      </w:r>
      <w:r w:rsidR="007D0A50" w:rsidRPr="007D0A5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1C1A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 відміну від французького досвіду, </w:t>
      </w:r>
      <w:r w:rsidR="000432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 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</w:t>
      </w:r>
      <w:r w:rsidR="001C1A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ніверситет</w:t>
      </w:r>
      <w:r w:rsidR="000432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="001C1A9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третього віку в Кембриджі</w:t>
      </w:r>
      <w:r w:rsidR="000432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заперечували ідею </w:t>
      </w:r>
      <w:r w:rsidR="00B356D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упорядкованих навчальних курсів для пасивного засвоєння</w:t>
      </w:r>
      <w:r w:rsidR="000432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2629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</w:t>
      </w:r>
      <w:r w:rsidR="00B356D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вимагали інтелектуальної демократії</w:t>
      </w:r>
      <w:r w:rsidR="002629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Також в освітньому процесі не повинно бути поділу на викладачів та учнів: кожен міг долучитися до викладання чи адміністративної діяльності [</w:t>
      </w:r>
      <w:r w:rsidR="004D6455" w:rsidRPr="004D6455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2629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</w:t>
      </w:r>
      <w:r w:rsidR="002629E2" w:rsidRPr="002629E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Британські У</w:t>
      </w:r>
      <w:r w:rsidR="002629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ніверситети третього віку формувалися на моделі навчання </w:t>
      </w:r>
      <w:r w:rsidR="009F3C1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через взаємодопомогу: люди створюють невеликі групи за інтересами задля набуття нових знань та компетенцій. Такі групи взаємодопомоги комплектуються особами, які об’єднані спільною метою навчан</w:t>
      </w:r>
      <w:r w:rsidR="006F603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ня, прагнуть особистісних змін та</w:t>
      </w:r>
      <w:r w:rsidR="009F3C1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соціальної адаптації [</w:t>
      </w:r>
      <w:r w:rsidR="004D6455" w:rsidRP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26</w:t>
      </w:r>
      <w:r w:rsidR="009F3C1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</w:t>
      </w:r>
      <w:r w:rsidR="009F3C12" w:rsidRPr="009F3C1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</w:p>
    <w:p w:rsidR="009F3C12" w:rsidRDefault="009F3C12" w:rsidP="001D42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 сучасному етапі розвитку університетів третього віку розрізняють п’ять їх моделей, залежно від зв’язку з приймаючим (традиційним) університетом, пропонованої освітньої програми і виду організації навчання. Однак, усі </w:t>
      </w:r>
      <w:r w:rsidR="00B47D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тип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и </w:t>
      </w:r>
      <w:r w:rsidR="00B47D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цих навчальних закладів базуються на класичній фра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нцузькій чи британській моделі У</w:t>
      </w:r>
      <w:r w:rsidR="00B47D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ніверситету третього віку.</w:t>
      </w:r>
    </w:p>
    <w:p w:rsidR="000F4488" w:rsidRPr="000F4488" w:rsidRDefault="000F4488" w:rsidP="000F4488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західноєвропейська модель «</w:t>
      </w:r>
      <w:proofErr w:type="spellStart"/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Vellas</w:t>
      </w:r>
      <w:proofErr w:type="spellEnd"/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», тобто французька модель, яка тісно пов’язана з класичним університетом чи є його складовою частиною;</w:t>
      </w:r>
    </w:p>
    <w:p w:rsidR="000F4488" w:rsidRPr="000F4488" w:rsidRDefault="000F4488" w:rsidP="000F4488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англосаксонська модель, британська, яка базується на автономних групах самодопомоги;</w:t>
      </w:r>
    </w:p>
    <w:p w:rsidR="000F4488" w:rsidRPr="000F4488" w:rsidRDefault="000F4488" w:rsidP="000F4488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північноамериканська модель, створена на засадах функціонування французької моделі УТВ; характерним є те, що учасники дол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учаються до планування програм та</w:t>
      </w: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курсів навчання;</w:t>
      </w:r>
    </w:p>
    <w:p w:rsidR="000F4488" w:rsidRPr="000F4488" w:rsidRDefault="000F4488" w:rsidP="000F4488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південноамериканська модель, заснована за принципом західноєвропейської моделі, до навчання залучаються майже усі люди похилого віку;</w:t>
      </w:r>
    </w:p>
    <w:p w:rsidR="000F4488" w:rsidRPr="000F4488" w:rsidRDefault="000F4488" w:rsidP="000F4488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китайська модель, яка охоплює різноманітні форми освіти і сфокусована на житті у спільноті, збереженні традицій, а також пропагує </w:t>
      </w:r>
      <w:r w:rsidR="004F6BD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здор</w:t>
      </w:r>
      <w:r w:rsid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овий спосіб життя старших [2</w:t>
      </w: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с. 2]. </w:t>
      </w:r>
    </w:p>
    <w:p w:rsidR="000F4488" w:rsidRPr="005A7921" w:rsidRDefault="000F4488" w:rsidP="005A79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Зазначимо, що у США і Канаді заклади освіти людей третього віку поширені як Інститути навчання на пенсії, які поєднують особливості організації навчання і за французькою, і за британською моделями. Кожен інститут встановлює власні правила своєї діяльності, але усі дотримую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ться трьох основних принципів: а) </w:t>
      </w:r>
      <w:r w:rsidR="00663647"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</w:t>
      </w:r>
      <w:r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нститут спонсорується і підтримується </w:t>
      </w:r>
      <w:proofErr w:type="spellStart"/>
      <w:r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хост</w:t>
      </w:r>
      <w:proofErr w:type="spellEnd"/>
      <w:r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-університетом чи коледжем щоб забезпечувати академічну цілісність. Таким чином, члени інституту можуть користати з матеріальних та інте</w:t>
      </w:r>
      <w:r w:rsidR="00663647"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лектуальних можливостей </w:t>
      </w:r>
      <w:proofErr w:type="spellStart"/>
      <w:r w:rsidR="00663647"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кампусу</w:t>
      </w:r>
      <w:proofErr w:type="spellEnd"/>
      <w:r w:rsidR="00663647"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б) </w:t>
      </w:r>
      <w:r w:rsidR="00663647"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</w:t>
      </w:r>
      <w:r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тудентів третього віку заохочують до «права власності» на Інститут для навчання на пенсії, який вони відвідують, шляхом оплати членських внесків для підтримання функціонування цього заклад</w:t>
      </w:r>
      <w:r w:rsidR="00663647"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у;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в) </w:t>
      </w:r>
      <w:r w:rsidR="00663647"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</w:t>
      </w:r>
      <w:r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ленів інституту залучають до волонтерської діяльності, що сприяє розвитку почуття спільноти сере</w:t>
      </w:r>
      <w:r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 людей похилого віку [</w:t>
      </w:r>
      <w:r w:rsidR="004D6455"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19, </w:t>
      </w:r>
      <w:r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с.</w:t>
      </w:r>
      <w:r w:rsidR="004D6455"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 </w:t>
      </w:r>
      <w:r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28</w:t>
      </w:r>
      <w:r w:rsidRP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].</w:t>
      </w:r>
    </w:p>
    <w:p w:rsidR="00B47DA8" w:rsidRDefault="00B47DA8" w:rsidP="001D42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Незважаючи на те, що </w:t>
      </w:r>
      <w:r w:rsidR="00181F9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значна частина осіб похилого віку приходить в УТВ, в основному, щоб отримати нові знання та уміння, функції університету третього віку значно ширші, ніж задоволення інтелектуальних потреб старших учнів [</w:t>
      </w:r>
      <w:r w:rsidR="004D6455" w:rsidRPr="004D6455">
        <w:rPr>
          <w:rFonts w:ascii="Times New Roman" w:eastAsia="Calibri" w:hAnsi="Times New Roman" w:cs="Times New Roman"/>
          <w:bCs/>
          <w:sz w:val="28"/>
          <w:szCs w:val="28"/>
        </w:rPr>
        <w:t>20; 27</w:t>
      </w:r>
      <w:r w:rsidR="00181F9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</w:t>
      </w:r>
      <w:r w:rsidR="00181F9E" w:rsidRPr="00181F9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181F9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Університет третього віку – освітній центр, основною метою якого є створення середовища для подальшого особистісного розвитку людей похилого віку</w:t>
      </w:r>
      <w:r w:rsidR="003B047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Залучення старших до навчальної діяльності – дієвий спосіб перетворення пост-пенсійної фази життя у змістовний і значущий період. Численні дослідження мотивації участі людей у програмах УТВ показують, що визначальними є соціальні наслідки (спілкування, взаємодопомога, </w:t>
      </w:r>
      <w:r w:rsidR="005758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соціально-психологічна підтримка</w:t>
      </w:r>
      <w:r w:rsidR="003B047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Таким чином, У</w:t>
      </w:r>
      <w:r w:rsidR="0057582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ніверситети третього віку виконують позитивні функції як в соціальній, так і в особистісній сферах людини, зокрема створюють умови для соціалізації та соціальної адаптації осіб похилого віку, наповнюють змістом так званий «додатковий» вільний час, підвищують інтерес до життя і задовольняють їх інтелектуальні потреби. Університет третього віку є дієвою формою суспільної інтеграції старших людей; </w:t>
      </w:r>
      <w:r w:rsidR="007633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через розширення знань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та </w:t>
      </w:r>
      <w:r w:rsidR="007633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міжособистісну комунікацію відбувається краще розуміння глобальних процесів. Крім того, такі заклади сприяють розвиткові у людей відповідальності за власне здоров’я та уміння піклуватися про себе, оскільки у програми навчання </w:t>
      </w:r>
      <w:r w:rsidR="007633BA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включено курс з охорони здоров’я, здорового способу життя та першої медичної допомоги. Зважаючи на сучасні інформаційні технології, УТВ створюють освітні портали, електронні курси для дистанційного навчання й спілкування осіб похилого віку, які не мають можливості відвідувати заклад.</w:t>
      </w:r>
      <w:r w:rsidR="000F4488" w:rsidRPr="000F4488">
        <w:rPr>
          <w:lang w:val="uk-UA"/>
        </w:rPr>
        <w:t xml:space="preserve"> </w:t>
      </w:r>
      <w:r w:rsid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Це важливий крок до вирішення</w:t>
      </w:r>
      <w:r w:rsidR="000F4488"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проблем ізоляції та реадаптації осіб, які раніше почувалися відкинутими суспільством.</w:t>
      </w:r>
    </w:p>
    <w:p w:rsidR="000F4488" w:rsidRPr="000F4488" w:rsidRDefault="000F4488" w:rsidP="005A792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Специфіка освіти людей </w:t>
      </w:r>
      <w:r w:rsidR="00AA0E9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похилого (</w:t>
      </w: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тре</w:t>
      </w:r>
      <w:r w:rsidR="00AA0E9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тього) віку полягає у тому, що</w:t>
      </w: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контингентом є особи дієздатного віку, які поєднують навчальну діяльність з участю в різних галузях практичного життя, тому </w:t>
      </w:r>
      <w:r w:rsidR="00AA0E9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 навчанні потрібно </w:t>
      </w: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застосовувати інші педагогічні п</w:t>
      </w:r>
      <w:r w:rsidR="00AA0E9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ринципи, форми й методи</w:t>
      </w: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ніж ті, що використовуються для молоді. Обґрунтовуючи процес навчання старших як баланс їх потреб безпеки  і стимулювання, Д. Джеймс (</w:t>
      </w:r>
      <w:r w:rsidRPr="000F448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0F448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James</w:t>
      </w: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 виокремив два основні види процесу навчання у пізньому віці: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а) </w:t>
      </w: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екстенсивне або дослідницьке навчання (розширення), коли людина набуває нові навички, розвиває інтереси та розширює горизонти власного світосприйняття;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б) </w:t>
      </w: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консолідативне навчання (зміцнення), коли людина удосконалює свій досвід і погляди, посилює власну позицію в суспільстві, особливо після якихось важливих змін чи викликів у житті [</w:t>
      </w:r>
      <w:r w:rsidR="004D6455" w:rsidRP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11</w:t>
      </w:r>
      <w:r w:rsidRPr="000F448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].</w:t>
      </w:r>
    </w:p>
    <w:p w:rsidR="00E84370" w:rsidRPr="00E84370" w:rsidRDefault="00E84370" w:rsidP="00E843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 Україні важливо усвідомити поте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нціал освіти старших дорослих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для соціально-економічного розвитку держави, для збереження її людського капіталу. 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Для створення оптимальної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моделі освітнього середовища для осіб третього віку важливо, по-перше, забезпечити умови для максимального задоволення освітніх та комунікативних потреб цієї когорти людей з урахуванням попередньо набутого досвіду, знань, умінь і навичок, а також індивідуальних особливостей осіб похилого віку; по-друге, сформувати гнучку організаційну структуру для можливості швидко переорієнтовуватися та змінюватися з метою оптимізації навчального процесу; і по-третє, створити творче і комунікативне середовище для розвитку старшої людини в особистому і соціальному плані.</w:t>
      </w:r>
    </w:p>
    <w:p w:rsidR="00861116" w:rsidRDefault="00E84370" w:rsidP="00E843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Зважаючи на особливості освітніх потреб і цілей навчання людей похилого віку, вважаємо, що модель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освітнього середовища важливо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створювати на основі принципів гуманістичної та неінституційної моделей освіти, оскільки метою навчання осіб 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похилого (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третього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віку є не 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стільки 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здобуття знань, умінь і навич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ок для професійної діяльності, як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продовження власного розвитку в особистому і соціальному плані [</w:t>
      </w:r>
      <w:r w:rsidR="004D64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15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с. 156]. Необхідно зважати на те, що суб’єктом навчання є особа, яка навчається (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learner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), і сама відповідальна за цей процес, а також уж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 володіє певним багажем знань та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серйозним життєвим досвідом. Отже</w:t>
      </w:r>
      <w:r w:rsidR="0066364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модель освітнього середовища для людей третього віку створюється з урахуванням особистісних освітніх траєкторій осіб цієї вікової категорії на основі принципів неперервності, індивідуалізації та варіативності навчання. Варіативність полягає у можливості вибору людьми, що навчаються, освітніх напрямів відповідно до своїх нахилів, можливостей і потреб, а також у врахуванні вікових</w:t>
      </w:r>
      <w:r w:rsidR="005A792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Pr="00E843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фізичних та психічних особливостей старших. </w:t>
      </w:r>
    </w:p>
    <w:p w:rsidR="005A7921" w:rsidRDefault="005A7921" w:rsidP="00E843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663647" w:rsidRPr="00663647" w:rsidRDefault="00663647" w:rsidP="00E8437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6364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Бібліографія: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Дем’яненко Н. М. Освіта дорослих: світові тенденції другої половини ХХ – початку ХХІ ст. / Н. Дем’яненко // Педагогічні науки: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зб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наук. праць. – Полтава, 2011. – № 2. – С. 39–44. 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Сагун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І. Міжнародний досвід організації навчання людей третього віку. [Електронний ресурс] – Режим доступу: http://www.nbuv.gov.ua/portal/Soc_Gum/OD/2012/10PTBLTV.pdf. </w:t>
      </w:r>
    </w:p>
    <w:p w:rsidR="0033758E" w:rsidRPr="00861116" w:rsidRDefault="0033758E" w:rsidP="007E482D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Сандецька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О. Освіта людей похилого віку як перспективний напрям освіти дорослих</w:t>
      </w:r>
      <w:r w:rsidR="007E482D" w:rsidRPr="007E482D">
        <w:rPr>
          <w:rFonts w:ascii="Times New Roman" w:eastAsia="Calibri" w:hAnsi="Times New Roman" w:cs="Times New Roman"/>
          <w:bCs/>
          <w:sz w:val="28"/>
          <w:szCs w:val="28"/>
        </w:rPr>
        <w:t xml:space="preserve"> / </w:t>
      </w:r>
      <w:proofErr w:type="spellStart"/>
      <w:r w:rsidR="007E482D" w:rsidRPr="007E482D">
        <w:rPr>
          <w:rFonts w:ascii="Times New Roman" w:eastAsia="Calibri" w:hAnsi="Times New Roman" w:cs="Times New Roman"/>
          <w:bCs/>
          <w:sz w:val="28"/>
          <w:szCs w:val="28"/>
        </w:rPr>
        <w:t>Сандецька</w:t>
      </w:r>
      <w:proofErr w:type="spellEnd"/>
      <w:r w:rsidR="007E482D" w:rsidRPr="007E482D">
        <w:rPr>
          <w:rFonts w:ascii="Times New Roman" w:eastAsia="Calibri" w:hAnsi="Times New Roman" w:cs="Times New Roman"/>
          <w:bCs/>
          <w:sz w:val="28"/>
          <w:szCs w:val="28"/>
        </w:rPr>
        <w:t xml:space="preserve"> О. </w:t>
      </w:r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// Наукові записки. Серія «Педагогічні науки». – 2012. –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Вип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107 (2). – С. 127–132.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Зых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Непрерывное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образование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 контексте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геронтологической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теории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Развитие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и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главные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идеи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педагогики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старения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и старости. [Електронний ресурс] – Режим доступу: </w:t>
      </w:r>
      <w:r w:rsidR="005C0227" w:rsidRP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http://lifelongeducation.ru/index.php/ru/literatura</w:t>
      </w:r>
    </w:p>
    <w:p w:rsidR="005C0227" w:rsidRPr="00861116" w:rsidRDefault="005C0227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Formosa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M.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Older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Adults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at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University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Third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/ M. Formosa</w:t>
      </w:r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//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Educational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Gerontolog</w:t>
      </w:r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y</w:t>
      </w:r>
      <w:proofErr w:type="spellEnd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– 2012. – </w:t>
      </w:r>
      <w:proofErr w:type="spellStart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No</w:t>
      </w:r>
      <w:proofErr w:type="spellEnd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38. – P. 114–</w:t>
      </w:r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126. – P.114</w:t>
      </w:r>
      <w:r w:rsidR="00070CB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Freedman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M.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Prime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Time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–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New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York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Public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Affairs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/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Perseus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1999.</w:t>
      </w:r>
    </w:p>
    <w:p w:rsidR="0033758E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Garvin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D.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Learning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Action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–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Boston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Harvard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Business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School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Press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2000.</w:t>
      </w:r>
    </w:p>
    <w:p w:rsidR="00D43168" w:rsidRPr="00861116" w:rsidRDefault="00D43168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Glendenning F. Education for older adults in Britain: A developing movement / F. Glendenning (Ed.). Educational Gerontology: International Perspectives.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Beckenham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, Kent: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Croom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Helm, 1985. – P. 100–141.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Groombridge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B.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Learning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later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life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/ </w:t>
      </w:r>
      <w:proofErr w:type="spellStart"/>
      <w:r w:rsidR="007E482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Groombridge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B.</w:t>
      </w:r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//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Adult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</w:t>
      </w:r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tion</w:t>
      </w:r>
      <w:proofErr w:type="spellEnd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– 1982. – </w:t>
      </w:r>
      <w:proofErr w:type="spellStart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No</w:t>
      </w:r>
      <w:proofErr w:type="spellEnd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54. P. 314–</w:t>
      </w:r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325.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Handbook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Aging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Social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Sciences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by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Binstok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R. H., </w:t>
      </w:r>
      <w:proofErr w:type="spellStart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George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L. </w:t>
      </w:r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K. –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San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Diego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Academic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Press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5th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– 2001. 514 p. 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James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D.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Living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Learning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Exploring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our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Biological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Roots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Frank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Glendenning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Memorial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Lecture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2008 – AEA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David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James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[Електронний ресурс] – Режим доступу: http://www.aea.org.</w:t>
      </w:r>
    </w:p>
    <w:p w:rsidR="0033758E" w:rsidRPr="00861116" w:rsidRDefault="007E482D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Lamb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R. </w:t>
      </w:r>
      <w:proofErr w:type="spellStart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Participation</w:t>
      </w:r>
      <w:proofErr w:type="spellEnd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Lifelong</w:t>
      </w:r>
      <w:proofErr w:type="spellEnd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Learning</w:t>
      </w:r>
      <w:proofErr w:type="spellEnd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Institutes</w:t>
      </w:r>
      <w:proofErr w:type="spellEnd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What</w:t>
      </w:r>
      <w:proofErr w:type="spellEnd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Turns</w:t>
      </w:r>
      <w:proofErr w:type="spellEnd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Members</w:t>
      </w:r>
      <w:proofErr w:type="spellEnd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On</w:t>
      </w:r>
      <w:proofErr w:type="spellEnd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?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/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Lamb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R.,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Brady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E. </w:t>
      </w:r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// </w:t>
      </w:r>
      <w:proofErr w:type="spellStart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Educational</w:t>
      </w:r>
      <w:proofErr w:type="spellEnd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Gero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ntology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– 2005. 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No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31. – P. </w:t>
      </w:r>
      <w:r w:rsidR="0033758E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207–224. </w:t>
      </w:r>
    </w:p>
    <w:p w:rsidR="0033758E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Lasslett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P.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Das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Dritte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Alter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Historische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Soziologie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des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Alterns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–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Weinheim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1995.</w:t>
      </w:r>
    </w:p>
    <w:p w:rsidR="00D43168" w:rsidRPr="00861116" w:rsidRDefault="00D43168" w:rsidP="00D43168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Lemieux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A. T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he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University</w:t>
      </w:r>
      <w:proofErr w:type="spellEnd"/>
      <w:r w:rsidRPr="00D431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431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D431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431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D431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431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Third</w:t>
      </w:r>
      <w:proofErr w:type="spellEnd"/>
      <w:r w:rsidRPr="00D431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431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</w:t>
      </w:r>
      <w:proofErr w:type="spellEnd"/>
      <w:r w:rsidRPr="00D431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The role of senior citizens // Educational Gerontology. – 1995. – No. 15 (2). – P. 187–198.</w:t>
      </w:r>
    </w:p>
    <w:p w:rsidR="00861116" w:rsidRDefault="00861116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Le</w:t>
      </w:r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mieux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A.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Faculties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Traditional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Universities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Universities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Third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A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Partnership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Model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Gerontology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/ </w:t>
      </w:r>
      <w:proofErr w:type="spellStart"/>
      <w:r w:rsidR="007E482D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Lemieux</w:t>
      </w:r>
      <w:proofErr w:type="spellEnd"/>
      <w:r w:rsidR="007E482D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A., </w:t>
      </w:r>
      <w:proofErr w:type="spellStart"/>
      <w:r w:rsidR="007E482D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Boutin</w:t>
      </w:r>
      <w:proofErr w:type="spellEnd"/>
      <w:r w:rsidR="007E482D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G., </w:t>
      </w:r>
      <w:proofErr w:type="spellStart"/>
      <w:r w:rsidR="007E482D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Rindeau</w:t>
      </w:r>
      <w:proofErr w:type="spellEnd"/>
      <w:r w:rsidR="007E482D"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J. </w:t>
      </w:r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//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Higher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Europe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– 2</w:t>
      </w:r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007. – </w:t>
      </w:r>
      <w:proofErr w:type="spellStart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No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2-3. – </w:t>
      </w:r>
      <w:proofErr w:type="spellStart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Vol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32. – P. </w:t>
      </w:r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151–161.</w:t>
      </w:r>
    </w:p>
    <w:p w:rsidR="00D43168" w:rsidRPr="00861116" w:rsidRDefault="00D43168" w:rsidP="00D43168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Midwinter E. 500 beacons: The U3A story. – London: Third Age Press, 2004.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Russel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H.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Latter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Life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a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Time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Learn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/ </w:t>
      </w:r>
      <w:proofErr w:type="spellStart"/>
      <w:r w:rsidR="007E482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Russel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H.</w:t>
      </w:r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//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Educational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Gerontology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– 2008. –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No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34. – P. 206–224. 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Sadler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W.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Changing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life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options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uncovering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reaches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third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[Електронний ресурс] – Режим доступу: http://thirdagecenter.com/Changinglife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options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pdf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Shinagel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M.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Demographics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Lifelong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Learning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Institutes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21st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Century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Michael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Shinagel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//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Continuing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Higher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Review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– 2012. –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Vol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76. – P. 20–29.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Swindell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R.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International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Prospective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Third</w:t>
      </w:r>
      <w:proofErr w:type="spellEnd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</w:t>
      </w:r>
      <w:proofErr w:type="spellEnd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 R. </w:t>
      </w:r>
      <w:proofErr w:type="spellStart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Swindell</w:t>
      </w:r>
      <w:proofErr w:type="spellEnd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J. 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Thompson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//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Educational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Ger</w:t>
      </w:r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ontology</w:t>
      </w:r>
      <w:proofErr w:type="spellEnd"/>
      <w:r w:rsidR="002E374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– 1995. – No.21 (5). – P. 429–</w:t>
      </w:r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447.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Oxford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Handbook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Retirement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by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Mo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Wang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–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New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York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Oxford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University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Press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2013. – 638 p.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Trowbridge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R. H.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Wisdom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Lifelong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Learning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Twenty-First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Century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/ </w:t>
      </w:r>
      <w:proofErr w:type="spellStart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Trowbridge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R. H.</w:t>
      </w:r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//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London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Review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– 2007. –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Vol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5. –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No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2. – P. 159–172.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Treas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J.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Older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Americans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1990s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beyond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/ </w:t>
      </w:r>
      <w:proofErr w:type="spellStart"/>
      <w:r w:rsidR="007E482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Treas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J.</w:t>
      </w:r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//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Population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Bulletin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–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Washington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D.C., 1995. –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No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2. – p. 124–138.</w:t>
      </w:r>
    </w:p>
    <w:p w:rsidR="0033758E" w:rsidRPr="00861116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Wald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R.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Studies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Aging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for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Older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Adults</w:t>
      </w:r>
      <w:proofErr w:type="spellEnd"/>
      <w:r w:rsidR="007E482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/ Wald R.</w:t>
      </w:r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//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LLI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Review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– 2007. –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Fall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– P. 99–104.</w:t>
      </w:r>
    </w:p>
    <w:p w:rsidR="00663647" w:rsidRDefault="0033758E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Weiss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R.,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Bass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S.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Challenges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third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Meaning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purpose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later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life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–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Oxford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UK: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Oxford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University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Press</w:t>
      </w:r>
      <w:proofErr w:type="spellEnd"/>
      <w:r w:rsidRPr="0086111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2002.</w:t>
      </w:r>
    </w:p>
    <w:p w:rsidR="00D43168" w:rsidRPr="00D43168" w:rsidRDefault="00D43168" w:rsidP="00861116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Withnall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W. Education for older adults: Some recent British research // Educational Gerontology. –</w:t>
      </w:r>
      <w:r w:rsidR="00AD614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1989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. – No. </w:t>
      </w:r>
      <w:r w:rsidR="00AD614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15 (2). – P. 187–198.</w:t>
      </w:r>
    </w:p>
    <w:p w:rsidR="00D43168" w:rsidRPr="00861116" w:rsidRDefault="00D43168" w:rsidP="00AD6144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Yenarall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 J.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Educationg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an aging society</w:t>
      </w:r>
      <w:r w:rsidR="00AD614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University</w:t>
      </w:r>
      <w:proofErr w:type="spellEnd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Third</w:t>
      </w:r>
      <w:proofErr w:type="spellEnd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</w:t>
      </w:r>
      <w:proofErr w:type="spellEnd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// </w:t>
      </w:r>
      <w:proofErr w:type="spellStart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Educational</w:t>
      </w:r>
      <w:proofErr w:type="spellEnd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Gerontology</w:t>
      </w:r>
      <w:proofErr w:type="spellEnd"/>
      <w:r w:rsidR="00AD614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AD614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– 2003. – No.</w:t>
      </w:r>
      <w:r w:rsidR="00AD6144" w:rsidRPr="00AD6144">
        <w:rPr>
          <w:lang w:val="en-US"/>
        </w:rPr>
        <w:t xml:space="preserve"> </w:t>
      </w:r>
      <w:r w:rsidR="00AD6144" w:rsidRPr="00AD614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29 (8). – P. 703–716.</w:t>
      </w:r>
    </w:p>
    <w:p w:rsidR="00974415" w:rsidRDefault="00974415" w:rsidP="0033758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663647" w:rsidRDefault="00663647" w:rsidP="00663647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636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University</w:t>
      </w:r>
      <w:proofErr w:type="spellEnd"/>
      <w:r w:rsidRPr="006636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636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of</w:t>
      </w:r>
      <w:proofErr w:type="spellEnd"/>
      <w:r w:rsidRPr="006636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636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the</w:t>
      </w:r>
      <w:proofErr w:type="spellEnd"/>
      <w:r w:rsidRPr="006636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636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Third</w:t>
      </w:r>
      <w:proofErr w:type="spellEnd"/>
      <w:r w:rsidRPr="006636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6636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Age</w:t>
      </w:r>
      <w:proofErr w:type="spellEnd"/>
      <w:r w:rsidRPr="006636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663647" w:rsidRPr="00663647" w:rsidRDefault="00861116" w:rsidP="00663647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А</w:t>
      </w:r>
      <w:r w:rsidR="00663647" w:rsidRPr="0066364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337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Socio-Cultural</w:t>
      </w:r>
      <w:proofErr w:type="spellEnd"/>
      <w:r w:rsidR="00337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337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and</w:t>
      </w:r>
      <w:proofErr w:type="spellEnd"/>
      <w:r w:rsidR="00337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337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E</w:t>
      </w:r>
      <w:r w:rsidR="00663647" w:rsidRPr="006636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ducational</w:t>
      </w:r>
      <w:proofErr w:type="spellEnd"/>
      <w:r w:rsidR="00663647" w:rsidRPr="006636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337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Environment</w:t>
      </w:r>
      <w:proofErr w:type="spellEnd"/>
      <w:r w:rsidR="00337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337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for</w:t>
      </w:r>
      <w:proofErr w:type="spellEnd"/>
      <w:r w:rsidR="00337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337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Older</w:t>
      </w:r>
      <w:proofErr w:type="spellEnd"/>
      <w:r w:rsidR="00337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33758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A</w:t>
      </w:r>
      <w:r w:rsidR="00663647" w:rsidRPr="0066364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dults</w:t>
      </w:r>
      <w:proofErr w:type="spellEnd"/>
    </w:p>
    <w:p w:rsidR="00D01835" w:rsidRPr="00D01835" w:rsidRDefault="00663647" w:rsidP="00D018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Nataliya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Chahrak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,</w:t>
      </w:r>
      <w:r w:rsidR="00FB2F6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B2F6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Vasyl</w:t>
      </w:r>
      <w:proofErr w:type="spellEnd"/>
      <w:r w:rsidR="00FB2F6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B2F6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Stefanyk</w:t>
      </w:r>
      <w:proofErr w:type="spellEnd"/>
      <w:r w:rsidR="00FB2F6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FB2F6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Prec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arpathian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National University</w:t>
      </w:r>
    </w:p>
    <w:p w:rsidR="00974415" w:rsidRPr="00974415" w:rsidRDefault="00974415" w:rsidP="009744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Scientific-and-technological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advance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socio-economic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development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have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led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significant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change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characteristics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intensity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demographic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process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pointed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out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that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population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: a)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has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influenced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a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change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structure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population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;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birth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rates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decrease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consequence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rising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human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life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expectancy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has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caused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a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change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structure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life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course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; b)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signifies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a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decrease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percentage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children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young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people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increase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percentage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persons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65+; c)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affects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all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aspects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society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including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social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cultural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activities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increase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old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dependency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ratio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influences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labor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market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economic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development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all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article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provides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evidence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that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worthwhile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reconsider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traditional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approach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elderly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needs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growing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group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elderly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people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needs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ensured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adaptation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rapid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economic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social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change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state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policy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needs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rethinking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approaches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human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potential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recognizing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seniors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a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valuable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part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social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even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economic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resources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cohort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going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win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a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significant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place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demographical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social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structure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important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provide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opportunity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for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elderly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active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participants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country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development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process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including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labor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market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Encouraging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people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third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activity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may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effective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resource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for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social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economic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intellectual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growth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country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idea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should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become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one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strategic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directions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state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policy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also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emphasized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that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higher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sector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should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redefine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its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role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human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capital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formation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retraining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older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people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teaching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new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life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skills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cope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with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late-life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problems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offering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opportunities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for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personal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enrichment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through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learning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culture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arts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For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sector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strategically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important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adapt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new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philosophy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make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changes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policy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fundamental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structure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financing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curriculum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</w:p>
    <w:p w:rsidR="00974415" w:rsidRPr="00974415" w:rsidRDefault="00974415" w:rsidP="009744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A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successful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form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older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adults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Universities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Third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Their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main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goal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create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conditions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for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active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positive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Exploring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experience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developed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countries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field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older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adults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can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be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important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source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for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analysis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use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its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ideas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to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create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a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model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positive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environment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for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people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third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in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Ukraine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974415" w:rsidRPr="00E84370" w:rsidRDefault="00974415" w:rsidP="0097441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974415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Keywords</w:t>
      </w:r>
      <w:proofErr w:type="spellEnd"/>
      <w:r w:rsidRPr="00974415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:</w:t>
      </w:r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older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adults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older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adults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education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population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ageing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social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adaptation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third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University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Third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Age</w:t>
      </w:r>
      <w:proofErr w:type="spellEnd"/>
      <w:r w:rsidRPr="0097441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AA0E98" w:rsidRPr="00181F9E" w:rsidRDefault="00AA0E98" w:rsidP="001D426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93DF7" w:rsidRPr="001D4268" w:rsidRDefault="00E93DF7">
      <w:pPr>
        <w:rPr>
          <w:lang w:val="uk-UA"/>
        </w:rPr>
      </w:pPr>
    </w:p>
    <w:sectPr w:rsidR="00E93DF7" w:rsidRPr="001D4268" w:rsidSect="008F6121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CD1" w:rsidRDefault="00024CD1" w:rsidP="00F1772C">
      <w:pPr>
        <w:spacing w:after="0" w:line="240" w:lineRule="auto"/>
      </w:pPr>
      <w:r>
        <w:separator/>
      </w:r>
    </w:p>
  </w:endnote>
  <w:endnote w:type="continuationSeparator" w:id="0">
    <w:p w:rsidR="00024CD1" w:rsidRDefault="00024CD1" w:rsidP="00F1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CD1" w:rsidRDefault="00024CD1" w:rsidP="00F1772C">
      <w:pPr>
        <w:spacing w:after="0" w:line="240" w:lineRule="auto"/>
      </w:pPr>
      <w:r>
        <w:separator/>
      </w:r>
    </w:p>
  </w:footnote>
  <w:footnote w:type="continuationSeparator" w:id="0">
    <w:p w:rsidR="00024CD1" w:rsidRDefault="00024CD1" w:rsidP="00F1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278338"/>
      <w:docPartObj>
        <w:docPartGallery w:val="Page Numbers (Top of Page)"/>
        <w:docPartUnique/>
      </w:docPartObj>
    </w:sdtPr>
    <w:sdtEndPr/>
    <w:sdtContent>
      <w:p w:rsidR="00F1772C" w:rsidRDefault="00F1772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A75">
          <w:rPr>
            <w:noProof/>
          </w:rPr>
          <w:t>1</w:t>
        </w:r>
        <w:r>
          <w:fldChar w:fldCharType="end"/>
        </w:r>
      </w:p>
    </w:sdtContent>
  </w:sdt>
  <w:p w:rsidR="00F1772C" w:rsidRDefault="00F177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4194"/>
    <w:multiLevelType w:val="hybridMultilevel"/>
    <w:tmpl w:val="3A2E5014"/>
    <w:lvl w:ilvl="0" w:tplc="93C42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B4"/>
    <w:multiLevelType w:val="hybridMultilevel"/>
    <w:tmpl w:val="9082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7727"/>
    <w:multiLevelType w:val="hybridMultilevel"/>
    <w:tmpl w:val="B5480D9E"/>
    <w:lvl w:ilvl="0" w:tplc="93C42E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23448B"/>
    <w:multiLevelType w:val="hybridMultilevel"/>
    <w:tmpl w:val="BBB20A2A"/>
    <w:lvl w:ilvl="0" w:tplc="93C42E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9F7484"/>
    <w:multiLevelType w:val="hybridMultilevel"/>
    <w:tmpl w:val="592AFB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8D01A3D"/>
    <w:multiLevelType w:val="hybridMultilevel"/>
    <w:tmpl w:val="B2E0CE5A"/>
    <w:lvl w:ilvl="0" w:tplc="93C42E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69"/>
    <w:rsid w:val="0002120C"/>
    <w:rsid w:val="00024CD1"/>
    <w:rsid w:val="000432FA"/>
    <w:rsid w:val="000629BC"/>
    <w:rsid w:val="0007077B"/>
    <w:rsid w:val="00070CBB"/>
    <w:rsid w:val="00074529"/>
    <w:rsid w:val="000A08E1"/>
    <w:rsid w:val="000B2515"/>
    <w:rsid w:val="000B4438"/>
    <w:rsid w:val="000C7923"/>
    <w:rsid w:val="000F4488"/>
    <w:rsid w:val="00111FC9"/>
    <w:rsid w:val="001129CA"/>
    <w:rsid w:val="00140C00"/>
    <w:rsid w:val="00143550"/>
    <w:rsid w:val="001437A1"/>
    <w:rsid w:val="001549FC"/>
    <w:rsid w:val="001563AA"/>
    <w:rsid w:val="00170848"/>
    <w:rsid w:val="0017428A"/>
    <w:rsid w:val="00181F9E"/>
    <w:rsid w:val="00193ADC"/>
    <w:rsid w:val="001A0B90"/>
    <w:rsid w:val="001C1A91"/>
    <w:rsid w:val="001C2D6E"/>
    <w:rsid w:val="001D4268"/>
    <w:rsid w:val="001E1309"/>
    <w:rsid w:val="002078F8"/>
    <w:rsid w:val="00240BBC"/>
    <w:rsid w:val="002629E2"/>
    <w:rsid w:val="00265D05"/>
    <w:rsid w:val="002A27F8"/>
    <w:rsid w:val="002A3D47"/>
    <w:rsid w:val="002D1EEC"/>
    <w:rsid w:val="002E374A"/>
    <w:rsid w:val="00320683"/>
    <w:rsid w:val="00325B4F"/>
    <w:rsid w:val="00326B69"/>
    <w:rsid w:val="0033758E"/>
    <w:rsid w:val="00356FC5"/>
    <w:rsid w:val="00363648"/>
    <w:rsid w:val="00383892"/>
    <w:rsid w:val="00390E2A"/>
    <w:rsid w:val="00391C0B"/>
    <w:rsid w:val="00392F7C"/>
    <w:rsid w:val="003A6EAD"/>
    <w:rsid w:val="003B0475"/>
    <w:rsid w:val="003F79BC"/>
    <w:rsid w:val="0040032B"/>
    <w:rsid w:val="00404064"/>
    <w:rsid w:val="00415B1C"/>
    <w:rsid w:val="0042061A"/>
    <w:rsid w:val="00421E7D"/>
    <w:rsid w:val="00465263"/>
    <w:rsid w:val="004923FC"/>
    <w:rsid w:val="004A415F"/>
    <w:rsid w:val="004A6021"/>
    <w:rsid w:val="004B1CD9"/>
    <w:rsid w:val="004C3B69"/>
    <w:rsid w:val="004C7764"/>
    <w:rsid w:val="004D6455"/>
    <w:rsid w:val="004F02E5"/>
    <w:rsid w:val="004F6BD6"/>
    <w:rsid w:val="00527C88"/>
    <w:rsid w:val="00544C62"/>
    <w:rsid w:val="005450F6"/>
    <w:rsid w:val="0055109D"/>
    <w:rsid w:val="00556700"/>
    <w:rsid w:val="0057582C"/>
    <w:rsid w:val="00582110"/>
    <w:rsid w:val="00584453"/>
    <w:rsid w:val="00591B4A"/>
    <w:rsid w:val="005A230A"/>
    <w:rsid w:val="005A7921"/>
    <w:rsid w:val="005A7C74"/>
    <w:rsid w:val="005B1E40"/>
    <w:rsid w:val="005C0227"/>
    <w:rsid w:val="005E3235"/>
    <w:rsid w:val="005F3D9F"/>
    <w:rsid w:val="005F5C49"/>
    <w:rsid w:val="006179C8"/>
    <w:rsid w:val="0065354A"/>
    <w:rsid w:val="00655082"/>
    <w:rsid w:val="00663647"/>
    <w:rsid w:val="00666AA9"/>
    <w:rsid w:val="006C6642"/>
    <w:rsid w:val="006F603E"/>
    <w:rsid w:val="006F72C1"/>
    <w:rsid w:val="007132BE"/>
    <w:rsid w:val="00717A92"/>
    <w:rsid w:val="007633BA"/>
    <w:rsid w:val="007953A9"/>
    <w:rsid w:val="007A2C7B"/>
    <w:rsid w:val="007D0A50"/>
    <w:rsid w:val="007D0F4F"/>
    <w:rsid w:val="007D41BD"/>
    <w:rsid w:val="007E3DD7"/>
    <w:rsid w:val="007E482D"/>
    <w:rsid w:val="008174F8"/>
    <w:rsid w:val="00823613"/>
    <w:rsid w:val="0085309F"/>
    <w:rsid w:val="00861116"/>
    <w:rsid w:val="008F6121"/>
    <w:rsid w:val="008F7FF7"/>
    <w:rsid w:val="00903DCE"/>
    <w:rsid w:val="009135BE"/>
    <w:rsid w:val="00936BC1"/>
    <w:rsid w:val="00937622"/>
    <w:rsid w:val="00974415"/>
    <w:rsid w:val="0097533B"/>
    <w:rsid w:val="00977D2B"/>
    <w:rsid w:val="009A7D2F"/>
    <w:rsid w:val="009C6466"/>
    <w:rsid w:val="009F3C12"/>
    <w:rsid w:val="00A104E8"/>
    <w:rsid w:val="00A31FC9"/>
    <w:rsid w:val="00A34FF9"/>
    <w:rsid w:val="00A3648E"/>
    <w:rsid w:val="00A421CD"/>
    <w:rsid w:val="00A6122F"/>
    <w:rsid w:val="00A638C9"/>
    <w:rsid w:val="00A75040"/>
    <w:rsid w:val="00AA0E98"/>
    <w:rsid w:val="00AC3529"/>
    <w:rsid w:val="00AD6144"/>
    <w:rsid w:val="00AE0766"/>
    <w:rsid w:val="00AF3491"/>
    <w:rsid w:val="00B015AD"/>
    <w:rsid w:val="00B038E4"/>
    <w:rsid w:val="00B10792"/>
    <w:rsid w:val="00B112B6"/>
    <w:rsid w:val="00B1563F"/>
    <w:rsid w:val="00B25BB9"/>
    <w:rsid w:val="00B31835"/>
    <w:rsid w:val="00B356D3"/>
    <w:rsid w:val="00B47DA8"/>
    <w:rsid w:val="00B51D05"/>
    <w:rsid w:val="00B773B2"/>
    <w:rsid w:val="00BA5B11"/>
    <w:rsid w:val="00BE38E9"/>
    <w:rsid w:val="00BF30C9"/>
    <w:rsid w:val="00C2622C"/>
    <w:rsid w:val="00C64241"/>
    <w:rsid w:val="00C64489"/>
    <w:rsid w:val="00C80EF4"/>
    <w:rsid w:val="00C91612"/>
    <w:rsid w:val="00C957B5"/>
    <w:rsid w:val="00C96004"/>
    <w:rsid w:val="00CA032F"/>
    <w:rsid w:val="00CA5D3E"/>
    <w:rsid w:val="00CA7921"/>
    <w:rsid w:val="00CB763B"/>
    <w:rsid w:val="00CC1D8D"/>
    <w:rsid w:val="00D01835"/>
    <w:rsid w:val="00D341A6"/>
    <w:rsid w:val="00D43168"/>
    <w:rsid w:val="00D65AAB"/>
    <w:rsid w:val="00D73C62"/>
    <w:rsid w:val="00D87665"/>
    <w:rsid w:val="00DA5D7A"/>
    <w:rsid w:val="00DB49E7"/>
    <w:rsid w:val="00DE45B2"/>
    <w:rsid w:val="00E151B3"/>
    <w:rsid w:val="00E15769"/>
    <w:rsid w:val="00E17BC9"/>
    <w:rsid w:val="00E73D16"/>
    <w:rsid w:val="00E804B9"/>
    <w:rsid w:val="00E84370"/>
    <w:rsid w:val="00E93DF7"/>
    <w:rsid w:val="00EA1159"/>
    <w:rsid w:val="00EA7049"/>
    <w:rsid w:val="00EC12A3"/>
    <w:rsid w:val="00EE5E4D"/>
    <w:rsid w:val="00EF070C"/>
    <w:rsid w:val="00EF7A7C"/>
    <w:rsid w:val="00EF7AE5"/>
    <w:rsid w:val="00F03FFD"/>
    <w:rsid w:val="00F10A75"/>
    <w:rsid w:val="00F1772C"/>
    <w:rsid w:val="00F2681D"/>
    <w:rsid w:val="00F352D0"/>
    <w:rsid w:val="00F409C3"/>
    <w:rsid w:val="00F53D9A"/>
    <w:rsid w:val="00F627A7"/>
    <w:rsid w:val="00F93C99"/>
    <w:rsid w:val="00FB2F69"/>
    <w:rsid w:val="00FB6764"/>
    <w:rsid w:val="00FC157F"/>
    <w:rsid w:val="00FD11BA"/>
    <w:rsid w:val="00FD7720"/>
    <w:rsid w:val="00FE16BE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95A7D-5ABB-465C-85B0-C3273A26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268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1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72C"/>
  </w:style>
  <w:style w:type="paragraph" w:styleId="a6">
    <w:name w:val="footer"/>
    <w:basedOn w:val="a"/>
    <w:link w:val="a7"/>
    <w:uiPriority w:val="99"/>
    <w:unhideWhenUsed/>
    <w:rsid w:val="00F1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72C"/>
  </w:style>
  <w:style w:type="paragraph" w:styleId="a8">
    <w:name w:val="List Paragraph"/>
    <w:basedOn w:val="a"/>
    <w:uiPriority w:val="34"/>
    <w:qFormat/>
    <w:rsid w:val="000F448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A0E98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3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7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12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2016-09-23T21:56:00Z</cp:lastPrinted>
  <dcterms:created xsi:type="dcterms:W3CDTF">2016-09-03T19:28:00Z</dcterms:created>
  <dcterms:modified xsi:type="dcterms:W3CDTF">2016-09-23T22:37:00Z</dcterms:modified>
</cp:coreProperties>
</file>